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8AE60A" w14:textId="77777777" w:rsidR="003A4932" w:rsidRPr="0014797E" w:rsidRDefault="003A4932" w:rsidP="001C07B0">
      <w:pPr>
        <w:autoSpaceDE w:val="0"/>
        <w:autoSpaceDN w:val="0"/>
        <w:adjustRightInd w:val="0"/>
        <w:spacing w:after="80" w:line="240" w:lineRule="auto"/>
        <w:rPr>
          <w:rFonts w:cstheme="minorHAnsi"/>
          <w:b/>
          <w:sz w:val="24"/>
          <w:szCs w:val="24"/>
          <w:lang w:val="ro-RO" w:eastAsia="ro-RO"/>
        </w:rPr>
      </w:pPr>
      <w:r w:rsidRPr="0014797E">
        <w:rPr>
          <w:rFonts w:cstheme="minorHAnsi"/>
          <w:b/>
          <w:bCs/>
          <w:sz w:val="24"/>
          <w:szCs w:val="24"/>
          <w:lang w:val="ro-RO"/>
        </w:rPr>
        <w:tab/>
      </w:r>
      <w:r w:rsidRPr="0014797E">
        <w:rPr>
          <w:rFonts w:cstheme="minorHAnsi"/>
          <w:b/>
          <w:bCs/>
          <w:sz w:val="24"/>
          <w:szCs w:val="24"/>
          <w:lang w:val="ro-RO"/>
        </w:rPr>
        <w:tab/>
      </w:r>
      <w:r w:rsidRPr="0014797E">
        <w:rPr>
          <w:rFonts w:cstheme="minorHAnsi"/>
          <w:b/>
          <w:bCs/>
          <w:sz w:val="24"/>
          <w:szCs w:val="24"/>
          <w:lang w:val="ro-RO"/>
        </w:rPr>
        <w:tab/>
      </w:r>
      <w:r w:rsidR="000355C6" w:rsidRPr="0014797E">
        <w:rPr>
          <w:rFonts w:cstheme="minorHAnsi"/>
          <w:b/>
          <w:bCs/>
          <w:sz w:val="24"/>
          <w:szCs w:val="24"/>
          <w:lang w:val="ro-RO"/>
        </w:rPr>
        <w:tab/>
      </w:r>
      <w:r w:rsidR="00A378C5" w:rsidRPr="0014797E">
        <w:rPr>
          <w:rFonts w:cstheme="minorHAnsi"/>
          <w:b/>
          <w:bCs/>
          <w:sz w:val="24"/>
          <w:szCs w:val="24"/>
          <w:lang w:val="ro-RO"/>
        </w:rPr>
        <w:tab/>
      </w:r>
      <w:r w:rsidR="00A378C5" w:rsidRPr="0014797E">
        <w:rPr>
          <w:rFonts w:cstheme="minorHAnsi"/>
          <w:b/>
          <w:bCs/>
          <w:sz w:val="24"/>
          <w:szCs w:val="24"/>
          <w:lang w:val="ro-RO"/>
        </w:rPr>
        <w:tab/>
      </w:r>
      <w:r w:rsidR="00A378C5" w:rsidRPr="0014797E">
        <w:rPr>
          <w:rFonts w:cstheme="minorHAnsi"/>
          <w:b/>
          <w:bCs/>
          <w:sz w:val="24"/>
          <w:szCs w:val="24"/>
          <w:lang w:val="ro-RO"/>
        </w:rPr>
        <w:tab/>
      </w:r>
      <w:r w:rsidR="00A378C5" w:rsidRPr="0014797E">
        <w:rPr>
          <w:rFonts w:cstheme="minorHAnsi"/>
          <w:b/>
          <w:bCs/>
          <w:sz w:val="24"/>
          <w:szCs w:val="24"/>
          <w:lang w:val="ro-RO"/>
        </w:rPr>
        <w:tab/>
      </w:r>
      <w:r w:rsidR="00A378C5" w:rsidRPr="0014797E">
        <w:rPr>
          <w:rFonts w:cstheme="minorHAnsi"/>
          <w:b/>
          <w:bCs/>
          <w:sz w:val="24"/>
          <w:szCs w:val="24"/>
          <w:lang w:val="ro-RO"/>
        </w:rPr>
        <w:tab/>
      </w:r>
      <w:r w:rsidR="00A378C5" w:rsidRPr="0014797E">
        <w:rPr>
          <w:rFonts w:cstheme="minorHAnsi"/>
          <w:b/>
          <w:bCs/>
          <w:sz w:val="24"/>
          <w:szCs w:val="24"/>
          <w:lang w:val="ro-RO"/>
        </w:rPr>
        <w:tab/>
      </w:r>
      <w:r w:rsidRPr="0014797E">
        <w:rPr>
          <w:rFonts w:cstheme="minorHAnsi"/>
          <w:sz w:val="24"/>
          <w:szCs w:val="24"/>
          <w:lang w:val="ro-RO" w:eastAsia="ro-RO"/>
        </w:rPr>
        <w:t xml:space="preserve"> </w:t>
      </w:r>
      <w:r w:rsidR="00DF4FF0" w:rsidRPr="0014797E">
        <w:rPr>
          <w:rFonts w:cstheme="minorHAnsi"/>
          <w:sz w:val="24"/>
          <w:szCs w:val="24"/>
          <w:lang w:val="ro-RO" w:eastAsia="ro-RO"/>
        </w:rPr>
        <w:t xml:space="preserve">    </w:t>
      </w:r>
      <w:r w:rsidRPr="0014797E">
        <w:rPr>
          <w:rFonts w:cstheme="minorHAnsi"/>
          <w:sz w:val="24"/>
          <w:szCs w:val="24"/>
          <w:lang w:val="ro-RO" w:eastAsia="ro-RO"/>
        </w:rPr>
        <w:t xml:space="preserve"> </w:t>
      </w:r>
      <w:r w:rsidRPr="0014797E">
        <w:rPr>
          <w:rFonts w:cstheme="minorHAnsi"/>
          <w:b/>
          <w:sz w:val="24"/>
          <w:szCs w:val="24"/>
          <w:lang w:val="ro-RO" w:eastAsia="ro-RO"/>
        </w:rPr>
        <w:t>Aprob,</w:t>
      </w:r>
    </w:p>
    <w:p w14:paraId="70A7FCAD" w14:textId="77777777" w:rsidR="00970C42" w:rsidRPr="0014797E" w:rsidRDefault="00970C42" w:rsidP="001C07B0">
      <w:pPr>
        <w:autoSpaceDE w:val="0"/>
        <w:autoSpaceDN w:val="0"/>
        <w:adjustRightInd w:val="0"/>
        <w:spacing w:after="80" w:line="240" w:lineRule="auto"/>
        <w:ind w:left="8640" w:firstLine="270"/>
        <w:rPr>
          <w:rFonts w:cstheme="minorHAnsi"/>
          <w:b/>
          <w:sz w:val="24"/>
          <w:szCs w:val="24"/>
          <w:lang w:val="ro-RO" w:eastAsia="ro-RO"/>
        </w:rPr>
      </w:pPr>
      <w:r w:rsidRPr="0014797E">
        <w:rPr>
          <w:rFonts w:cstheme="minorHAnsi"/>
          <w:b/>
          <w:sz w:val="24"/>
          <w:szCs w:val="24"/>
          <w:lang w:val="ro-RO" w:eastAsia="ro-RO"/>
        </w:rPr>
        <w:t xml:space="preserve"> Ministru</w:t>
      </w:r>
      <w:r w:rsidRPr="0014797E">
        <w:rPr>
          <w:rFonts w:cstheme="minorHAnsi"/>
          <w:b/>
          <w:sz w:val="24"/>
          <w:szCs w:val="24"/>
          <w:lang w:val="ro-RO" w:eastAsia="ro-RO"/>
        </w:rPr>
        <w:tab/>
      </w:r>
    </w:p>
    <w:p w14:paraId="77955A07" w14:textId="77777777" w:rsidR="00DF4FF0" w:rsidRPr="0014797E" w:rsidRDefault="00970C42" w:rsidP="001C07B0">
      <w:pPr>
        <w:autoSpaceDE w:val="0"/>
        <w:autoSpaceDN w:val="0"/>
        <w:adjustRightInd w:val="0"/>
        <w:spacing w:after="80" w:line="240" w:lineRule="auto"/>
        <w:ind w:left="7920" w:firstLine="459"/>
        <w:rPr>
          <w:rFonts w:cstheme="minorHAnsi"/>
          <w:b/>
          <w:sz w:val="24"/>
          <w:szCs w:val="24"/>
          <w:lang w:val="ro-RO" w:eastAsia="ro-RO"/>
        </w:rPr>
      </w:pPr>
      <w:r w:rsidRPr="0014797E">
        <w:rPr>
          <w:rFonts w:cstheme="minorHAnsi"/>
          <w:b/>
          <w:sz w:val="24"/>
          <w:szCs w:val="24"/>
          <w:lang w:val="ro-RO" w:eastAsia="ro-RO"/>
        </w:rPr>
        <w:t xml:space="preserve"> Ioan Marcel </w:t>
      </w:r>
      <w:r w:rsidR="004301B7" w:rsidRPr="0014797E">
        <w:rPr>
          <w:rFonts w:cstheme="minorHAnsi"/>
          <w:b/>
          <w:sz w:val="24"/>
          <w:szCs w:val="24"/>
          <w:lang w:val="ro-RO" w:eastAsia="ro-RO"/>
        </w:rPr>
        <w:t>BOLOȘ</w:t>
      </w:r>
      <w:r w:rsidRPr="0014797E">
        <w:rPr>
          <w:rFonts w:cstheme="minorHAnsi"/>
          <w:b/>
          <w:sz w:val="24"/>
          <w:szCs w:val="24"/>
          <w:lang w:val="ro-RO" w:eastAsia="ro-RO"/>
        </w:rPr>
        <w:t xml:space="preserve">         </w:t>
      </w:r>
    </w:p>
    <w:p w14:paraId="37ABAF03" w14:textId="77777777" w:rsidR="00970C42" w:rsidRPr="0014797E" w:rsidRDefault="00970C42" w:rsidP="001C07B0">
      <w:pPr>
        <w:tabs>
          <w:tab w:val="left" w:pos="810"/>
          <w:tab w:val="left" w:pos="900"/>
          <w:tab w:val="left" w:pos="990"/>
          <w:tab w:val="left" w:pos="1080"/>
          <w:tab w:val="left" w:pos="8190"/>
        </w:tabs>
        <w:autoSpaceDE w:val="0"/>
        <w:autoSpaceDN w:val="0"/>
        <w:adjustRightInd w:val="0"/>
        <w:spacing w:after="80" w:line="240" w:lineRule="auto"/>
        <w:ind w:left="907"/>
        <w:rPr>
          <w:rFonts w:cstheme="minorHAnsi"/>
          <w:b/>
          <w:sz w:val="24"/>
          <w:szCs w:val="24"/>
          <w:lang w:val="ro-RO" w:eastAsia="ro-RO"/>
        </w:rPr>
      </w:pPr>
      <w:r w:rsidRPr="0014797E">
        <w:rPr>
          <w:rFonts w:cstheme="minorHAnsi"/>
          <w:b/>
          <w:sz w:val="24"/>
          <w:szCs w:val="24"/>
          <w:lang w:val="ro-RO" w:eastAsia="ro-RO"/>
        </w:rPr>
        <w:t>Avizat</w:t>
      </w:r>
      <w:r w:rsidR="0014797E" w:rsidRPr="0014797E">
        <w:rPr>
          <w:rFonts w:cstheme="minorHAnsi"/>
          <w:b/>
          <w:sz w:val="24"/>
          <w:szCs w:val="24"/>
          <w:lang w:val="ro-RO" w:eastAsia="ro-RO"/>
        </w:rPr>
        <w:t>,</w:t>
      </w:r>
    </w:p>
    <w:p w14:paraId="5065D24B" w14:textId="77777777" w:rsidR="00DF4FF0" w:rsidRPr="0014797E" w:rsidRDefault="00DF4FF0" w:rsidP="001C07B0">
      <w:pPr>
        <w:tabs>
          <w:tab w:val="left" w:pos="810"/>
          <w:tab w:val="left" w:pos="900"/>
          <w:tab w:val="left" w:pos="990"/>
          <w:tab w:val="left" w:pos="1080"/>
          <w:tab w:val="left" w:pos="8190"/>
        </w:tabs>
        <w:autoSpaceDE w:val="0"/>
        <w:autoSpaceDN w:val="0"/>
        <w:adjustRightInd w:val="0"/>
        <w:spacing w:after="80" w:line="240" w:lineRule="auto"/>
        <w:ind w:left="907"/>
        <w:rPr>
          <w:rFonts w:cstheme="minorHAnsi"/>
          <w:b/>
          <w:sz w:val="24"/>
          <w:szCs w:val="24"/>
          <w:lang w:val="ro-RO" w:eastAsia="ro-RO"/>
        </w:rPr>
      </w:pPr>
      <w:r w:rsidRPr="0014797E">
        <w:rPr>
          <w:rFonts w:cstheme="minorHAnsi"/>
          <w:b/>
          <w:sz w:val="24"/>
          <w:szCs w:val="24"/>
          <w:lang w:val="ro-RO" w:eastAsia="ro-RO"/>
        </w:rPr>
        <w:t>Secretar de stat</w:t>
      </w:r>
    </w:p>
    <w:p w14:paraId="6D4156AB" w14:textId="77777777" w:rsidR="007545C1" w:rsidRPr="0014797E" w:rsidRDefault="00F31866" w:rsidP="001C07B0">
      <w:pPr>
        <w:tabs>
          <w:tab w:val="left" w:pos="810"/>
          <w:tab w:val="left" w:pos="900"/>
          <w:tab w:val="left" w:pos="990"/>
          <w:tab w:val="left" w:pos="1080"/>
          <w:tab w:val="left" w:pos="8190"/>
        </w:tabs>
        <w:autoSpaceDE w:val="0"/>
        <w:autoSpaceDN w:val="0"/>
        <w:adjustRightInd w:val="0"/>
        <w:spacing w:after="80" w:line="240" w:lineRule="auto"/>
        <w:ind w:left="907"/>
        <w:rPr>
          <w:rFonts w:cstheme="minorHAnsi"/>
          <w:b/>
          <w:sz w:val="24"/>
          <w:szCs w:val="24"/>
          <w:lang w:val="ro-RO" w:eastAsia="ro-RO"/>
        </w:rPr>
      </w:pPr>
      <w:r w:rsidRPr="0014797E">
        <w:rPr>
          <w:rFonts w:cstheme="minorHAnsi"/>
          <w:b/>
          <w:sz w:val="24"/>
          <w:szCs w:val="24"/>
          <w:lang w:val="ro-RO" w:eastAsia="ro-RO"/>
        </w:rPr>
        <w:t>Carmen MORARU</w:t>
      </w:r>
    </w:p>
    <w:p w14:paraId="7EA6CCA3" w14:textId="77777777" w:rsidR="0014797E" w:rsidRPr="0014797E" w:rsidRDefault="0014797E" w:rsidP="00E62F27">
      <w:pPr>
        <w:spacing w:after="0" w:line="240" w:lineRule="auto"/>
        <w:ind w:left="0"/>
        <w:jc w:val="center"/>
        <w:rPr>
          <w:rFonts w:eastAsia="Calibri" w:cs="Times New Roman"/>
          <w:b/>
          <w:sz w:val="24"/>
          <w:szCs w:val="24"/>
          <w:lang w:val="ro-RO"/>
        </w:rPr>
      </w:pPr>
    </w:p>
    <w:p w14:paraId="6005866B" w14:textId="77777777" w:rsidR="00E62F27" w:rsidRPr="0014797E" w:rsidRDefault="00E62F27" w:rsidP="0014797E">
      <w:pPr>
        <w:spacing w:after="0" w:line="240" w:lineRule="auto"/>
        <w:ind w:left="900"/>
        <w:jc w:val="center"/>
        <w:rPr>
          <w:rFonts w:eastAsia="Calibri" w:cs="Times New Roman"/>
          <w:b/>
          <w:sz w:val="24"/>
          <w:szCs w:val="24"/>
          <w:lang w:val="ro-RO"/>
        </w:rPr>
      </w:pPr>
      <w:r w:rsidRPr="0014797E">
        <w:rPr>
          <w:rFonts w:eastAsia="Calibri" w:cs="Times New Roman"/>
          <w:b/>
          <w:sz w:val="24"/>
          <w:szCs w:val="24"/>
          <w:lang w:val="ro-RO"/>
        </w:rPr>
        <w:t>NOTĂ</w:t>
      </w:r>
    </w:p>
    <w:p w14:paraId="4F02A4CA" w14:textId="77777777" w:rsidR="00906824" w:rsidRPr="001C07B0" w:rsidRDefault="00906824" w:rsidP="0014797E">
      <w:pPr>
        <w:spacing w:after="0" w:line="240" w:lineRule="auto"/>
        <w:ind w:left="900"/>
        <w:jc w:val="center"/>
        <w:rPr>
          <w:rFonts w:eastAsia="Calibri" w:cs="Times New Roman"/>
          <w:b/>
          <w:sz w:val="16"/>
          <w:szCs w:val="16"/>
          <w:lang w:val="ro-RO"/>
        </w:rPr>
      </w:pPr>
    </w:p>
    <w:p w14:paraId="3378C521" w14:textId="77777777" w:rsidR="00906824" w:rsidRPr="007E209D" w:rsidRDefault="0014797E" w:rsidP="0014797E">
      <w:pPr>
        <w:spacing w:after="0" w:line="240" w:lineRule="auto"/>
        <w:ind w:left="900"/>
        <w:jc w:val="center"/>
        <w:rPr>
          <w:rFonts w:eastAsia="Calibri" w:cs="Times New Roman"/>
          <w:sz w:val="24"/>
          <w:szCs w:val="24"/>
          <w:lang w:val="ro-RO"/>
        </w:rPr>
      </w:pPr>
      <w:r w:rsidRPr="007E209D">
        <w:rPr>
          <w:rFonts w:eastAsia="Calibri" w:cs="Times New Roman"/>
          <w:sz w:val="24"/>
          <w:szCs w:val="24"/>
          <w:lang w:val="ro-RO"/>
        </w:rPr>
        <w:t xml:space="preserve">privind </w:t>
      </w:r>
    </w:p>
    <w:p w14:paraId="3B2F6478" w14:textId="77777777" w:rsidR="00906824" w:rsidRDefault="00906824" w:rsidP="0014797E">
      <w:pPr>
        <w:spacing w:after="0" w:line="240" w:lineRule="auto"/>
        <w:ind w:left="900"/>
        <w:jc w:val="center"/>
        <w:rPr>
          <w:rFonts w:eastAsia="Calibri" w:cs="Times New Roman"/>
          <w:b/>
          <w:sz w:val="24"/>
          <w:szCs w:val="24"/>
          <w:lang w:val="ro-RO"/>
        </w:rPr>
      </w:pPr>
    </w:p>
    <w:p w14:paraId="242E3580" w14:textId="5FCA6642" w:rsidR="00906824" w:rsidRDefault="00906824" w:rsidP="00906824">
      <w:pPr>
        <w:spacing w:after="0" w:line="240" w:lineRule="auto"/>
        <w:ind w:left="900"/>
        <w:jc w:val="center"/>
        <w:rPr>
          <w:rFonts w:eastAsia="Calibri" w:cs="Times New Roman"/>
          <w:b/>
          <w:sz w:val="24"/>
          <w:szCs w:val="24"/>
          <w:lang w:val="ro-RO"/>
        </w:rPr>
      </w:pPr>
      <w:r>
        <w:rPr>
          <w:rFonts w:eastAsia="Calibri" w:cs="Times New Roman"/>
          <w:b/>
          <w:sz w:val="24"/>
          <w:szCs w:val="24"/>
          <w:lang w:val="ro-RO"/>
        </w:rPr>
        <w:t>P</w:t>
      </w:r>
      <w:r w:rsidR="0014797E" w:rsidRPr="0014797E">
        <w:rPr>
          <w:rFonts w:eastAsia="Calibri" w:cs="Times New Roman"/>
          <w:b/>
          <w:sz w:val="24"/>
          <w:szCs w:val="24"/>
          <w:lang w:val="ro-RO"/>
        </w:rPr>
        <w:t>rocesul de evaluare</w:t>
      </w:r>
      <w:r w:rsidR="00763E30">
        <w:rPr>
          <w:rFonts w:eastAsia="Calibri" w:cs="Times New Roman"/>
          <w:b/>
          <w:sz w:val="24"/>
          <w:szCs w:val="24"/>
          <w:lang w:val="ro-RO"/>
        </w:rPr>
        <w:t xml:space="preserve"> și selecție</w:t>
      </w:r>
      <w:r w:rsidR="0014797E" w:rsidRPr="0014797E">
        <w:rPr>
          <w:rFonts w:eastAsia="Calibri" w:cs="Times New Roman"/>
          <w:b/>
          <w:sz w:val="24"/>
          <w:szCs w:val="24"/>
          <w:lang w:val="ro-RO"/>
        </w:rPr>
        <w:t xml:space="preserve"> a cererilor de finanțare </w:t>
      </w:r>
      <w:r w:rsidR="0014797E">
        <w:rPr>
          <w:rFonts w:eastAsia="Calibri" w:cs="Times New Roman"/>
          <w:b/>
          <w:sz w:val="24"/>
          <w:szCs w:val="24"/>
          <w:lang w:val="ro-RO"/>
        </w:rPr>
        <w:t>prin care unități</w:t>
      </w:r>
      <w:r w:rsidR="0014797E" w:rsidRPr="0014797E">
        <w:rPr>
          <w:rFonts w:eastAsia="Calibri" w:cs="Times New Roman"/>
          <w:b/>
          <w:sz w:val="24"/>
          <w:szCs w:val="24"/>
          <w:lang w:val="ro-RO"/>
        </w:rPr>
        <w:t xml:space="preserve"> administrativ teritoriale </w:t>
      </w:r>
      <w:r w:rsidR="0014797E">
        <w:rPr>
          <w:rFonts w:eastAsia="Calibri" w:cs="Times New Roman"/>
          <w:b/>
          <w:sz w:val="24"/>
          <w:szCs w:val="24"/>
          <w:lang w:val="ro-RO"/>
        </w:rPr>
        <w:t xml:space="preserve">propun investiții de </w:t>
      </w:r>
      <w:r w:rsidR="00F24A8C">
        <w:rPr>
          <w:rFonts w:eastAsia="Calibri" w:cs="Times New Roman"/>
          <w:b/>
          <w:sz w:val="24"/>
          <w:szCs w:val="24"/>
          <w:lang w:val="ro-RO"/>
        </w:rPr>
        <w:t>extindere/modernizare a</w:t>
      </w:r>
      <w:r w:rsidR="00F24A8C" w:rsidRPr="00F24A8C">
        <w:rPr>
          <w:rFonts w:eastAsia="Calibri" w:cs="Times New Roman"/>
          <w:b/>
          <w:sz w:val="24"/>
          <w:szCs w:val="24"/>
          <w:lang w:val="ro-RO"/>
        </w:rPr>
        <w:t xml:space="preserve"> rețelelor termice primare şi secundare din sistemele de alimentare cu energie termică, inclusiv a punctelor termice</w:t>
      </w:r>
      <w:r>
        <w:rPr>
          <w:rFonts w:eastAsia="Calibri" w:cs="Times New Roman"/>
          <w:b/>
          <w:sz w:val="24"/>
          <w:szCs w:val="24"/>
          <w:lang w:val="ro-RO"/>
        </w:rPr>
        <w:t xml:space="preserve"> </w:t>
      </w:r>
    </w:p>
    <w:p w14:paraId="1BC7242D" w14:textId="77777777" w:rsidR="00906824" w:rsidRPr="001C07B0" w:rsidRDefault="00906824" w:rsidP="00906824">
      <w:pPr>
        <w:spacing w:after="0" w:line="240" w:lineRule="auto"/>
        <w:ind w:left="900"/>
        <w:jc w:val="center"/>
        <w:rPr>
          <w:rFonts w:eastAsia="Calibri" w:cs="Times New Roman"/>
          <w:b/>
          <w:sz w:val="16"/>
          <w:szCs w:val="16"/>
          <w:lang w:val="ro-RO"/>
        </w:rPr>
      </w:pPr>
    </w:p>
    <w:p w14:paraId="41C3A06C" w14:textId="47A81D88" w:rsidR="0014797E" w:rsidRPr="0014797E" w:rsidRDefault="00906824" w:rsidP="00906824">
      <w:pPr>
        <w:spacing w:after="0" w:line="240" w:lineRule="auto"/>
        <w:ind w:left="900"/>
        <w:jc w:val="center"/>
        <w:rPr>
          <w:rFonts w:eastAsia="Calibri" w:cs="Times New Roman"/>
          <w:b/>
          <w:sz w:val="24"/>
          <w:szCs w:val="24"/>
          <w:lang w:val="ro-RO"/>
        </w:rPr>
      </w:pPr>
      <w:r w:rsidRPr="00906824">
        <w:rPr>
          <w:rFonts w:eastAsia="Calibri" w:cs="Times New Roman"/>
          <w:sz w:val="24"/>
          <w:szCs w:val="24"/>
          <w:lang w:val="ro-RO"/>
        </w:rPr>
        <w:t>Obiectivul</w:t>
      </w:r>
      <w:r w:rsidR="0014797E" w:rsidRPr="00906824">
        <w:rPr>
          <w:rFonts w:eastAsia="Calibri" w:cs="Times New Roman"/>
          <w:sz w:val="24"/>
          <w:szCs w:val="24"/>
          <w:lang w:val="ro-RO"/>
        </w:rPr>
        <w:t xml:space="preserve"> Specific</w:t>
      </w:r>
      <w:r w:rsidR="0018390B">
        <w:rPr>
          <w:rFonts w:eastAsia="Calibri" w:cs="Times New Roman"/>
          <w:sz w:val="24"/>
          <w:szCs w:val="24"/>
          <w:lang w:val="ro-RO"/>
        </w:rPr>
        <w:t xml:space="preserve"> (OS)</w:t>
      </w:r>
      <w:r w:rsidR="0014797E" w:rsidRPr="00906824">
        <w:rPr>
          <w:rFonts w:eastAsia="Calibri" w:cs="Times New Roman"/>
          <w:sz w:val="24"/>
          <w:szCs w:val="24"/>
          <w:lang w:val="ro-RO"/>
        </w:rPr>
        <w:t xml:space="preserve"> </w:t>
      </w:r>
      <w:r w:rsidR="00F24A8C">
        <w:rPr>
          <w:rFonts w:eastAsia="Calibri" w:cs="Times New Roman"/>
          <w:sz w:val="24"/>
          <w:szCs w:val="24"/>
          <w:lang w:val="ro-RO"/>
        </w:rPr>
        <w:t>7</w:t>
      </w:r>
      <w:r w:rsidR="0014797E" w:rsidRPr="00906824">
        <w:rPr>
          <w:rFonts w:eastAsia="Calibri" w:cs="Times New Roman"/>
          <w:sz w:val="24"/>
          <w:szCs w:val="24"/>
          <w:lang w:val="ro-RO"/>
        </w:rPr>
        <w:t xml:space="preserve">.1 </w:t>
      </w:r>
      <w:r w:rsidR="00F24A8C" w:rsidRPr="00F24A8C">
        <w:rPr>
          <w:i/>
          <w:sz w:val="24"/>
          <w:szCs w:val="24"/>
        </w:rPr>
        <w:t>Creşterea eficienţei energetice în sistemele centralizate de transport şi distribuţie a energiei termice în oraşele selectate</w:t>
      </w:r>
      <w:r w:rsidR="0014797E" w:rsidRPr="00906824">
        <w:rPr>
          <w:i/>
          <w:sz w:val="24"/>
          <w:szCs w:val="24"/>
        </w:rPr>
        <w:t xml:space="preserve"> </w:t>
      </w:r>
      <w:r w:rsidR="0014797E" w:rsidRPr="00906824">
        <w:rPr>
          <w:sz w:val="24"/>
          <w:szCs w:val="24"/>
        </w:rPr>
        <w:t>din cadrul Programului Operațional Infrastructură Mare</w:t>
      </w:r>
      <w:r w:rsidR="0018390B">
        <w:rPr>
          <w:sz w:val="24"/>
          <w:szCs w:val="24"/>
        </w:rPr>
        <w:t xml:space="preserve"> (POIM)</w:t>
      </w:r>
      <w:r w:rsidR="0014797E" w:rsidRPr="00906824">
        <w:rPr>
          <w:sz w:val="24"/>
          <w:szCs w:val="24"/>
        </w:rPr>
        <w:t xml:space="preserve"> 2014 - 2020</w:t>
      </w:r>
    </w:p>
    <w:p w14:paraId="08EE336B" w14:textId="77777777" w:rsidR="0018390B" w:rsidRPr="001C07B0" w:rsidRDefault="0018390B" w:rsidP="0018390B">
      <w:pPr>
        <w:tabs>
          <w:tab w:val="left" w:pos="450"/>
        </w:tabs>
        <w:spacing w:after="0" w:line="240" w:lineRule="auto"/>
        <w:ind w:left="0" w:right="243"/>
        <w:rPr>
          <w:rFonts w:eastAsia="Calibri" w:cs="Times New Roman"/>
          <w:b/>
          <w:sz w:val="16"/>
          <w:szCs w:val="16"/>
          <w:lang w:val="ro-RO"/>
        </w:rPr>
      </w:pPr>
    </w:p>
    <w:p w14:paraId="35373DBA" w14:textId="22105477" w:rsidR="00E62F27" w:rsidRPr="0014797E" w:rsidRDefault="00115577" w:rsidP="004E3857">
      <w:pPr>
        <w:tabs>
          <w:tab w:val="left" w:pos="450"/>
        </w:tabs>
        <w:spacing w:before="120" w:after="0" w:line="240" w:lineRule="auto"/>
        <w:ind w:left="907" w:right="63"/>
        <w:rPr>
          <w:rFonts w:eastAsia="Times New Roman" w:cs="Calibri"/>
          <w:iCs/>
          <w:sz w:val="24"/>
          <w:szCs w:val="24"/>
          <w:lang w:val="ro-RO"/>
        </w:rPr>
      </w:pPr>
      <w:r>
        <w:rPr>
          <w:rFonts w:eastAsia="Times New Roman" w:cs="Calibri"/>
          <w:iCs/>
          <w:sz w:val="24"/>
          <w:szCs w:val="24"/>
          <w:lang w:val="ro-RO"/>
        </w:rPr>
        <w:t>În cadrul apelului de proiecte</w:t>
      </w:r>
      <w:r w:rsidR="00860635">
        <w:rPr>
          <w:rFonts w:eastAsia="Times New Roman" w:cs="Calibri"/>
          <w:iCs/>
          <w:sz w:val="24"/>
          <w:szCs w:val="24"/>
          <w:lang w:val="ro-RO"/>
        </w:rPr>
        <w:t xml:space="preserve"> pentru</w:t>
      </w:r>
      <w:r>
        <w:rPr>
          <w:rFonts w:eastAsia="Times New Roman" w:cs="Calibri"/>
          <w:iCs/>
          <w:sz w:val="24"/>
          <w:szCs w:val="24"/>
          <w:lang w:val="ro-RO"/>
        </w:rPr>
        <w:t xml:space="preserve"> </w:t>
      </w:r>
      <w:r w:rsidR="00B73DAC">
        <w:rPr>
          <w:rFonts w:eastAsia="Times New Roman" w:cs="Calibri"/>
          <w:iCs/>
          <w:sz w:val="24"/>
          <w:szCs w:val="24"/>
          <w:lang w:val="ro-RO"/>
        </w:rPr>
        <w:t xml:space="preserve">dezvoltarea infrastructurii de termoficare </w:t>
      </w:r>
      <w:r>
        <w:rPr>
          <w:rFonts w:eastAsia="Times New Roman" w:cs="Calibri"/>
          <w:iCs/>
          <w:sz w:val="24"/>
          <w:szCs w:val="24"/>
          <w:lang w:val="ro-RO"/>
        </w:rPr>
        <w:t xml:space="preserve"> </w:t>
      </w:r>
      <w:r w:rsidR="00DE68C9">
        <w:rPr>
          <w:rFonts w:eastAsia="Times New Roman" w:cs="Calibri"/>
          <w:iCs/>
          <w:sz w:val="24"/>
          <w:szCs w:val="24"/>
          <w:lang w:val="ro-RO"/>
        </w:rPr>
        <w:t>a</w:t>
      </w:r>
      <w:r>
        <w:rPr>
          <w:rFonts w:eastAsia="Times New Roman" w:cs="Calibri"/>
          <w:iCs/>
          <w:sz w:val="24"/>
          <w:szCs w:val="24"/>
          <w:lang w:val="ro-RO"/>
        </w:rPr>
        <w:t xml:space="preserve"> OS </w:t>
      </w:r>
      <w:r w:rsidR="00B73DAC">
        <w:rPr>
          <w:rFonts w:eastAsia="Times New Roman" w:cs="Calibri"/>
          <w:iCs/>
          <w:sz w:val="24"/>
          <w:szCs w:val="24"/>
          <w:lang w:val="ro-RO"/>
        </w:rPr>
        <w:t>7</w:t>
      </w:r>
      <w:r>
        <w:rPr>
          <w:rFonts w:eastAsia="Times New Roman" w:cs="Calibri"/>
          <w:iCs/>
          <w:sz w:val="24"/>
          <w:szCs w:val="24"/>
          <w:lang w:val="ro-RO"/>
        </w:rPr>
        <w:t>.1 sus – menționat, deschis în luna</w:t>
      </w:r>
      <w:r w:rsidR="00DE68C9">
        <w:rPr>
          <w:rFonts w:eastAsia="Times New Roman" w:cs="Calibri"/>
          <w:iCs/>
          <w:sz w:val="24"/>
          <w:szCs w:val="24"/>
          <w:lang w:val="ro-RO"/>
        </w:rPr>
        <w:t xml:space="preserve"> </w:t>
      </w:r>
      <w:r w:rsidR="00B73DAC">
        <w:rPr>
          <w:rFonts w:eastAsia="Times New Roman" w:cs="Calibri"/>
          <w:iCs/>
          <w:sz w:val="24"/>
          <w:szCs w:val="24"/>
          <w:lang w:val="ro-RO"/>
        </w:rPr>
        <w:t xml:space="preserve">decembrie </w:t>
      </w:r>
      <w:r w:rsidR="00DE68C9">
        <w:rPr>
          <w:rFonts w:eastAsia="Times New Roman" w:cs="Calibri"/>
          <w:iCs/>
          <w:sz w:val="24"/>
          <w:szCs w:val="24"/>
          <w:lang w:val="ro-RO"/>
        </w:rPr>
        <w:t>201</w:t>
      </w:r>
      <w:r w:rsidR="00B73DAC">
        <w:rPr>
          <w:rFonts w:eastAsia="Times New Roman" w:cs="Calibri"/>
          <w:iCs/>
          <w:sz w:val="24"/>
          <w:szCs w:val="24"/>
          <w:lang w:val="ro-RO"/>
        </w:rPr>
        <w:t>6</w:t>
      </w:r>
      <w:r w:rsidR="00DE68C9">
        <w:rPr>
          <w:rFonts w:eastAsia="Times New Roman" w:cs="Calibri"/>
          <w:iCs/>
          <w:sz w:val="24"/>
          <w:szCs w:val="24"/>
          <w:lang w:val="ro-RO"/>
        </w:rPr>
        <w:t xml:space="preserve"> și închis la </w:t>
      </w:r>
      <w:r w:rsidR="00B73DAC">
        <w:rPr>
          <w:rFonts w:eastAsia="Times New Roman" w:cs="Calibri"/>
          <w:iCs/>
          <w:sz w:val="24"/>
          <w:szCs w:val="24"/>
          <w:lang w:val="ro-RO"/>
        </w:rPr>
        <w:t>09.07.2020</w:t>
      </w:r>
      <w:r>
        <w:rPr>
          <w:rFonts w:eastAsia="Times New Roman" w:cs="Calibri"/>
          <w:iCs/>
          <w:sz w:val="24"/>
          <w:szCs w:val="24"/>
          <w:lang w:val="ro-RO"/>
        </w:rPr>
        <w:t xml:space="preserve">, unitățile administrativ teritoriale </w:t>
      </w:r>
      <w:r w:rsidR="0006498B">
        <w:rPr>
          <w:rFonts w:eastAsia="Times New Roman" w:cs="Calibri"/>
          <w:iCs/>
          <w:sz w:val="24"/>
          <w:szCs w:val="24"/>
          <w:lang w:val="ro-RO"/>
        </w:rPr>
        <w:t xml:space="preserve">au depus </w:t>
      </w:r>
      <w:r w:rsidR="00B73DAC">
        <w:rPr>
          <w:rFonts w:eastAsia="Times New Roman" w:cs="Calibri"/>
          <w:b/>
          <w:iCs/>
          <w:sz w:val="24"/>
          <w:szCs w:val="24"/>
          <w:lang w:val="ro-RO"/>
        </w:rPr>
        <w:t>7</w:t>
      </w:r>
      <w:r w:rsidR="0006498B">
        <w:rPr>
          <w:rFonts w:eastAsia="Times New Roman" w:cs="Calibri"/>
          <w:iCs/>
          <w:sz w:val="24"/>
          <w:szCs w:val="24"/>
          <w:lang w:val="ro-RO"/>
        </w:rPr>
        <w:t xml:space="preserve"> cereri de finanțare</w:t>
      </w:r>
      <w:r w:rsidR="00ED431F">
        <w:rPr>
          <w:rFonts w:eastAsia="Times New Roman" w:cs="Calibri"/>
          <w:iCs/>
          <w:sz w:val="24"/>
          <w:szCs w:val="24"/>
          <w:lang w:val="ro-RO"/>
        </w:rPr>
        <w:t xml:space="preserve"> în valoare eligibilă de</w:t>
      </w:r>
      <w:r w:rsidR="0005592D">
        <w:rPr>
          <w:rFonts w:eastAsia="Times New Roman" w:cs="Calibri"/>
          <w:iCs/>
          <w:sz w:val="24"/>
          <w:szCs w:val="24"/>
          <w:lang w:val="ro-RO"/>
        </w:rPr>
        <w:t xml:space="preserve"> aprox</w:t>
      </w:r>
      <w:r w:rsidR="00ED431F">
        <w:rPr>
          <w:rFonts w:eastAsia="Times New Roman" w:cs="Calibri"/>
          <w:iCs/>
          <w:sz w:val="24"/>
          <w:szCs w:val="24"/>
          <w:lang w:val="ro-RO"/>
        </w:rPr>
        <w:t xml:space="preserve"> </w:t>
      </w:r>
      <w:r w:rsidR="00860635">
        <w:rPr>
          <w:rFonts w:eastAsia="Times New Roman" w:cs="Calibri"/>
          <w:b/>
          <w:iCs/>
          <w:sz w:val="24"/>
          <w:szCs w:val="24"/>
          <w:lang w:val="ro-RO"/>
        </w:rPr>
        <w:t>117</w:t>
      </w:r>
      <w:r w:rsidR="00ED431F" w:rsidRPr="00ED431F">
        <w:rPr>
          <w:rFonts w:eastAsia="Times New Roman" w:cs="Calibri"/>
          <w:b/>
          <w:iCs/>
          <w:sz w:val="24"/>
          <w:szCs w:val="24"/>
          <w:lang w:val="ro-RO"/>
        </w:rPr>
        <w:t xml:space="preserve"> mil. €</w:t>
      </w:r>
      <w:r w:rsidR="0006498B">
        <w:rPr>
          <w:rFonts w:eastAsia="Times New Roman" w:cs="Calibri"/>
          <w:iCs/>
          <w:sz w:val="24"/>
          <w:szCs w:val="24"/>
          <w:lang w:val="ro-RO"/>
        </w:rPr>
        <w:t xml:space="preserve"> </w:t>
      </w:r>
      <w:r w:rsidR="00860635" w:rsidRPr="00860635">
        <w:rPr>
          <w:rFonts w:eastAsia="Times New Roman" w:cs="Calibri"/>
          <w:iCs/>
          <w:sz w:val="24"/>
          <w:szCs w:val="24"/>
          <w:lang w:val="ro-RO"/>
        </w:rPr>
        <w:t>pentru continuarea investițiilor începute în perioada 2007-2013 prin POS Mediu 2007-2013, în vederea asigurării sustenabilității investițiilor inițiale orientate spre îmbunătățirea calității aerului luând în considerare evoluțiile în domeniul eficienței energetice la nivelul centrelor urbane</w:t>
      </w:r>
      <w:r w:rsidR="003101D5">
        <w:rPr>
          <w:rFonts w:eastAsia="Times New Roman" w:cs="Calibri"/>
          <w:iCs/>
          <w:sz w:val="24"/>
          <w:szCs w:val="24"/>
          <w:lang w:val="ro-RO"/>
        </w:rPr>
        <w:t>.</w:t>
      </w:r>
    </w:p>
    <w:p w14:paraId="2347E8B5" w14:textId="77777777" w:rsidR="00B649DD" w:rsidRDefault="004E3857" w:rsidP="00015CC3">
      <w:pPr>
        <w:tabs>
          <w:tab w:val="left" w:pos="450"/>
          <w:tab w:val="left" w:pos="5040"/>
        </w:tabs>
        <w:spacing w:before="120" w:after="0" w:line="240" w:lineRule="auto"/>
        <w:ind w:left="907" w:right="243"/>
        <w:rPr>
          <w:rFonts w:eastAsia="Times New Roman" w:cs="Calibri"/>
          <w:sz w:val="24"/>
          <w:szCs w:val="24"/>
          <w:lang w:val="ro-RO"/>
        </w:rPr>
      </w:pPr>
      <w:r w:rsidRPr="004E3857">
        <w:rPr>
          <w:rFonts w:eastAsia="Times New Roman" w:cs="Calibri"/>
          <w:sz w:val="24"/>
          <w:szCs w:val="24"/>
          <w:lang w:val="ro-RO"/>
        </w:rPr>
        <w:t>Din perspectiva legislației în vigoare privind ajutorul de stat,</w:t>
      </w:r>
      <w:r>
        <w:rPr>
          <w:rFonts w:eastAsia="Times New Roman" w:cs="Calibri"/>
          <w:sz w:val="24"/>
          <w:szCs w:val="24"/>
          <w:lang w:val="ro-RO"/>
        </w:rPr>
        <w:t xml:space="preserve"> </w:t>
      </w:r>
      <w:r w:rsidR="00B649DD" w:rsidRPr="00B649DD">
        <w:rPr>
          <w:rFonts w:eastAsia="Times New Roman" w:cs="Calibri"/>
          <w:sz w:val="24"/>
          <w:szCs w:val="24"/>
          <w:u w:val="single"/>
          <w:lang w:val="ro-RO"/>
        </w:rPr>
        <w:t>pentru componenta de energie termică</w:t>
      </w:r>
      <w:r w:rsidR="00B649DD">
        <w:rPr>
          <w:rFonts w:eastAsia="Times New Roman" w:cs="Calibri"/>
          <w:sz w:val="24"/>
          <w:szCs w:val="24"/>
          <w:lang w:val="ro-RO"/>
        </w:rPr>
        <w:t xml:space="preserve">, </w:t>
      </w:r>
      <w:r>
        <w:rPr>
          <w:rFonts w:eastAsia="Times New Roman" w:cs="Calibri"/>
          <w:sz w:val="24"/>
          <w:szCs w:val="24"/>
          <w:lang w:val="ro-RO"/>
        </w:rPr>
        <w:t>la momentul lansării apelului de proiecte</w:t>
      </w:r>
      <w:r w:rsidRPr="004E3857">
        <w:rPr>
          <w:rFonts w:eastAsia="Times New Roman" w:cs="Calibri"/>
          <w:sz w:val="24"/>
          <w:szCs w:val="24"/>
          <w:lang w:val="ro-RO"/>
        </w:rPr>
        <w:t>, condițiile de finanțare pentru unitățile administrativ teritoriale au fost stabilite</w:t>
      </w:r>
      <w:r w:rsidR="00B649DD">
        <w:rPr>
          <w:rFonts w:eastAsia="Times New Roman" w:cs="Calibri"/>
          <w:sz w:val="24"/>
          <w:szCs w:val="24"/>
          <w:lang w:val="ro-RO"/>
        </w:rPr>
        <w:t xml:space="preserve"> </w:t>
      </w:r>
      <w:r w:rsidRPr="004E3857">
        <w:rPr>
          <w:rFonts w:eastAsia="Times New Roman" w:cs="Calibri"/>
          <w:sz w:val="24"/>
          <w:szCs w:val="24"/>
          <w:lang w:val="ro-RO"/>
        </w:rPr>
        <w:t>prin raportare la prevederile Deciziei CE 2012/21/CE</w:t>
      </w:r>
      <w:r>
        <w:rPr>
          <w:rStyle w:val="FootnoteReference"/>
          <w:rFonts w:eastAsia="Times New Roman" w:cs="Calibri"/>
          <w:sz w:val="24"/>
          <w:szCs w:val="24"/>
          <w:lang w:val="ro-RO"/>
        </w:rPr>
        <w:footnoteReference w:id="1"/>
      </w:r>
      <w:r w:rsidRPr="004E3857">
        <w:rPr>
          <w:rFonts w:eastAsia="Times New Roman" w:cs="Calibri"/>
          <w:sz w:val="24"/>
          <w:szCs w:val="24"/>
          <w:lang w:val="ro-RO"/>
        </w:rPr>
        <w:t xml:space="preserve"> coroborate cu Legea serviciului public de alimentare cu energie termică nr. 325/2006, care definește serviciul public de alimentare cu energie termică drept serviciu public de interes general, precum și cu punctele de vedere formulate de către Consiliul Concurenței în procesul de elabora</w:t>
      </w:r>
      <w:r>
        <w:rPr>
          <w:rFonts w:eastAsia="Times New Roman" w:cs="Calibri"/>
          <w:sz w:val="24"/>
          <w:szCs w:val="24"/>
          <w:lang w:val="ro-RO"/>
        </w:rPr>
        <w:t xml:space="preserve">re a ghidurilor solicitantului. </w:t>
      </w:r>
      <w:r w:rsidRPr="004E3857">
        <w:rPr>
          <w:rFonts w:eastAsia="Times New Roman" w:cs="Calibri"/>
          <w:sz w:val="24"/>
          <w:szCs w:val="24"/>
          <w:lang w:val="ro-RO"/>
        </w:rPr>
        <w:t xml:space="preserve">Astfel, sub rezerva îndeplinirii, cu avizul Consiliului Concurenței, a condițiilor stabilite prin Decizia CE 2012/21/CE în ceea ce privește nivelul redevenței stabilite prin contractele de concesiune a rețelei termice de către operatorul desemnat sau, după caz, nivelul de compensare pentru prestarea unui SIEG, s-a considerat că finanțarea din POIM 2014 – 2020 pentru </w:t>
      </w:r>
      <w:r w:rsidR="00B649DD">
        <w:rPr>
          <w:rFonts w:eastAsia="Times New Roman" w:cs="Calibri"/>
          <w:sz w:val="24"/>
          <w:szCs w:val="24"/>
          <w:lang w:val="ro-RO"/>
        </w:rPr>
        <w:t>investiția care vizează energie termică</w:t>
      </w:r>
      <w:r w:rsidRPr="004E3857">
        <w:rPr>
          <w:rFonts w:eastAsia="Times New Roman" w:cs="Calibri"/>
          <w:sz w:val="24"/>
          <w:szCs w:val="24"/>
          <w:lang w:val="ro-RO"/>
        </w:rPr>
        <w:t xml:space="preserve"> nu reprezintă ajutor de stat și că întreaga valoare eligibilă </w:t>
      </w:r>
      <w:r w:rsidR="00B649DD">
        <w:rPr>
          <w:rFonts w:eastAsia="Times New Roman" w:cs="Calibri"/>
          <w:sz w:val="24"/>
          <w:szCs w:val="24"/>
          <w:lang w:val="ro-RO"/>
        </w:rPr>
        <w:t xml:space="preserve">aferentă </w:t>
      </w:r>
      <w:r w:rsidRPr="004E3857">
        <w:rPr>
          <w:rFonts w:eastAsia="Times New Roman" w:cs="Calibri"/>
          <w:sz w:val="24"/>
          <w:szCs w:val="24"/>
          <w:lang w:val="ro-RO"/>
        </w:rPr>
        <w:t xml:space="preserve">poate fi rambursată </w:t>
      </w:r>
      <w:r w:rsidR="00800B42">
        <w:rPr>
          <w:rFonts w:eastAsia="Times New Roman" w:cs="Calibri"/>
          <w:sz w:val="24"/>
          <w:szCs w:val="24"/>
          <w:lang w:val="ro-RO"/>
        </w:rPr>
        <w:t>din bugetul</w:t>
      </w:r>
      <w:r w:rsidR="00B649DD">
        <w:rPr>
          <w:rFonts w:eastAsia="Times New Roman" w:cs="Calibri"/>
          <w:sz w:val="24"/>
          <w:szCs w:val="24"/>
          <w:lang w:val="ro-RO"/>
        </w:rPr>
        <w:t xml:space="preserve"> program</w:t>
      </w:r>
      <w:r w:rsidR="00800B42">
        <w:rPr>
          <w:rFonts w:eastAsia="Times New Roman" w:cs="Calibri"/>
          <w:sz w:val="24"/>
          <w:szCs w:val="24"/>
          <w:lang w:val="ro-RO"/>
        </w:rPr>
        <w:t>ului</w:t>
      </w:r>
      <w:r w:rsidRPr="004E3857">
        <w:rPr>
          <w:rFonts w:eastAsia="Times New Roman" w:cs="Calibri"/>
          <w:sz w:val="24"/>
          <w:szCs w:val="24"/>
          <w:lang w:val="ro-RO"/>
        </w:rPr>
        <w:t>.</w:t>
      </w:r>
      <w:r>
        <w:rPr>
          <w:rFonts w:eastAsia="Times New Roman" w:cs="Calibri"/>
          <w:sz w:val="24"/>
          <w:szCs w:val="24"/>
          <w:lang w:val="ro-RO"/>
        </w:rPr>
        <w:t xml:space="preserve"> </w:t>
      </w:r>
    </w:p>
    <w:p w14:paraId="43DE9522" w14:textId="4AE5B574" w:rsidR="0018390B" w:rsidRDefault="00CF2878" w:rsidP="00015CC3">
      <w:pPr>
        <w:tabs>
          <w:tab w:val="left" w:pos="450"/>
          <w:tab w:val="left" w:pos="5040"/>
        </w:tabs>
        <w:spacing w:before="120" w:after="0" w:line="240" w:lineRule="auto"/>
        <w:ind w:left="907" w:right="243"/>
        <w:rPr>
          <w:rFonts w:eastAsia="Times New Roman" w:cs="Calibri"/>
          <w:sz w:val="24"/>
          <w:szCs w:val="24"/>
          <w:lang w:val="ro-RO"/>
        </w:rPr>
      </w:pPr>
      <w:r w:rsidRPr="00CF2878">
        <w:rPr>
          <w:rFonts w:eastAsia="Times New Roman" w:cs="Calibri"/>
          <w:sz w:val="24"/>
          <w:szCs w:val="24"/>
          <w:lang w:val="ro-RO"/>
        </w:rPr>
        <w:t xml:space="preserve">Ulterior, prin adresa nr. </w:t>
      </w:r>
      <w:r w:rsidR="00F0217C">
        <w:rPr>
          <w:rFonts w:eastAsia="Times New Roman" w:cs="Calibri"/>
          <w:sz w:val="24"/>
          <w:szCs w:val="24"/>
          <w:lang w:val="ro-RO"/>
        </w:rPr>
        <w:t>17802</w:t>
      </w:r>
      <w:r w:rsidRPr="00CF2878">
        <w:rPr>
          <w:rFonts w:eastAsia="Times New Roman" w:cs="Calibri"/>
          <w:sz w:val="24"/>
          <w:szCs w:val="24"/>
          <w:lang w:val="ro-RO"/>
        </w:rPr>
        <w:t>/</w:t>
      </w:r>
      <w:r w:rsidR="00F0217C">
        <w:rPr>
          <w:rFonts w:eastAsia="Times New Roman" w:cs="Calibri"/>
          <w:sz w:val="24"/>
          <w:szCs w:val="24"/>
          <w:lang w:val="ro-RO"/>
        </w:rPr>
        <w:t>18</w:t>
      </w:r>
      <w:r w:rsidRPr="00CF2878">
        <w:rPr>
          <w:rFonts w:eastAsia="Times New Roman" w:cs="Calibri"/>
          <w:sz w:val="24"/>
          <w:szCs w:val="24"/>
          <w:lang w:val="ro-RO"/>
        </w:rPr>
        <w:t>.</w:t>
      </w:r>
      <w:r w:rsidR="00F0217C">
        <w:rPr>
          <w:rFonts w:eastAsia="Times New Roman" w:cs="Calibri"/>
          <w:sz w:val="24"/>
          <w:szCs w:val="24"/>
          <w:lang w:val="ro-RO"/>
        </w:rPr>
        <w:t>12</w:t>
      </w:r>
      <w:r w:rsidRPr="00CF2878">
        <w:rPr>
          <w:rFonts w:eastAsia="Times New Roman" w:cs="Calibri"/>
          <w:sz w:val="24"/>
          <w:szCs w:val="24"/>
          <w:lang w:val="ro-RO"/>
        </w:rPr>
        <w:t xml:space="preserve">.2019, Consiliul Concurenței a comunicat Ministerului Fondurilor Europene (MFE) faptul că, în ceea ce privește </w:t>
      </w:r>
      <w:r w:rsidR="00F0217C">
        <w:rPr>
          <w:rFonts w:eastAsia="Times New Roman" w:cs="Calibri"/>
          <w:sz w:val="24"/>
          <w:szCs w:val="24"/>
          <w:lang w:val="ro-RO"/>
        </w:rPr>
        <w:t>distribuția</w:t>
      </w:r>
      <w:r w:rsidR="00F0217C" w:rsidRPr="00CF2878">
        <w:rPr>
          <w:rFonts w:eastAsia="Times New Roman" w:cs="Calibri"/>
          <w:sz w:val="24"/>
          <w:szCs w:val="24"/>
          <w:lang w:val="ro-RO"/>
        </w:rPr>
        <w:t xml:space="preserve"> </w:t>
      </w:r>
      <w:r w:rsidRPr="00CF2878">
        <w:rPr>
          <w:rFonts w:eastAsia="Times New Roman" w:cs="Calibri"/>
          <w:sz w:val="24"/>
          <w:szCs w:val="24"/>
          <w:lang w:val="ro-RO"/>
        </w:rPr>
        <w:t xml:space="preserve">de energie termică </w:t>
      </w:r>
      <w:r w:rsidRPr="00CF2878">
        <w:rPr>
          <w:rFonts w:eastAsia="Times New Roman" w:cs="Calibri"/>
          <w:sz w:val="24"/>
          <w:szCs w:val="24"/>
          <w:lang w:val="ro-RO"/>
        </w:rPr>
        <w:lastRenderedPageBreak/>
        <w:t xml:space="preserve">către consumatori, </w:t>
      </w:r>
      <w:r w:rsidR="00F0217C">
        <w:rPr>
          <w:rFonts w:eastAsia="Times New Roman" w:cs="Calibri"/>
          <w:sz w:val="24"/>
          <w:szCs w:val="24"/>
          <w:lang w:val="ro-RO"/>
        </w:rPr>
        <w:t>DG COMP și-a schimbat abordarea referitoare la aprobarea ajutorului de stat sub formă de SIEG</w:t>
      </w:r>
      <w:r w:rsidRPr="00CF2878">
        <w:rPr>
          <w:rFonts w:eastAsia="Times New Roman" w:cs="Calibri"/>
          <w:sz w:val="24"/>
          <w:szCs w:val="24"/>
          <w:lang w:val="ro-RO"/>
        </w:rPr>
        <w:t>.</w:t>
      </w:r>
    </w:p>
    <w:p w14:paraId="6B3A076B" w14:textId="0D48D3A6" w:rsidR="00875402" w:rsidRDefault="00AF04FF" w:rsidP="001C07B0">
      <w:pPr>
        <w:tabs>
          <w:tab w:val="left" w:pos="450"/>
          <w:tab w:val="left" w:pos="5040"/>
        </w:tabs>
        <w:spacing w:before="120" w:after="0" w:line="240" w:lineRule="auto"/>
        <w:ind w:left="900" w:right="243"/>
        <w:rPr>
          <w:rFonts w:eastAsia="Times New Roman" w:cs="Calibri"/>
          <w:sz w:val="24"/>
          <w:szCs w:val="24"/>
          <w:lang w:val="ro-RO"/>
        </w:rPr>
      </w:pPr>
      <w:r>
        <w:rPr>
          <w:rFonts w:eastAsia="Times New Roman" w:cs="Calibri"/>
          <w:sz w:val="24"/>
          <w:szCs w:val="24"/>
          <w:lang w:val="ro-RO"/>
        </w:rPr>
        <w:t>Astfel, î</w:t>
      </w:r>
      <w:r w:rsidR="004E1E90" w:rsidRPr="004E1E90">
        <w:rPr>
          <w:rFonts w:eastAsia="Times New Roman" w:cs="Calibri"/>
          <w:sz w:val="24"/>
          <w:szCs w:val="24"/>
          <w:lang w:val="ro-RO"/>
        </w:rPr>
        <w:t xml:space="preserve">n urma </w:t>
      </w:r>
      <w:r w:rsidR="004E1E90">
        <w:rPr>
          <w:rFonts w:eastAsia="Times New Roman" w:cs="Calibri"/>
          <w:sz w:val="24"/>
          <w:szCs w:val="24"/>
          <w:lang w:val="ro-RO"/>
        </w:rPr>
        <w:t>consultărilor</w:t>
      </w:r>
      <w:r w:rsidR="004E1E90" w:rsidRPr="004E1E90">
        <w:rPr>
          <w:rFonts w:eastAsia="Times New Roman" w:cs="Calibri"/>
          <w:sz w:val="24"/>
          <w:szCs w:val="24"/>
          <w:lang w:val="ro-RO"/>
        </w:rPr>
        <w:t xml:space="preserve"> </w:t>
      </w:r>
      <w:r>
        <w:rPr>
          <w:rFonts w:eastAsia="Times New Roman" w:cs="Calibri"/>
          <w:sz w:val="24"/>
          <w:szCs w:val="24"/>
          <w:lang w:val="ro-RO"/>
        </w:rPr>
        <w:t xml:space="preserve">dintre </w:t>
      </w:r>
      <w:r w:rsidR="004E1E90" w:rsidRPr="004E1E90">
        <w:rPr>
          <w:rFonts w:eastAsia="Times New Roman" w:cs="Calibri"/>
          <w:sz w:val="24"/>
          <w:szCs w:val="24"/>
          <w:lang w:val="ro-RO"/>
        </w:rPr>
        <w:t>Consiliul Concurenței și Comisia Europeană  a rezultat faptul că</w:t>
      </w:r>
      <w:r w:rsidR="00AC7DBB">
        <w:rPr>
          <w:rFonts w:eastAsia="Times New Roman" w:cs="Calibri"/>
          <w:sz w:val="24"/>
          <w:szCs w:val="24"/>
          <w:lang w:val="ro-RO"/>
        </w:rPr>
        <w:t xml:space="preserve">, </w:t>
      </w:r>
      <w:r>
        <w:rPr>
          <w:rFonts w:eastAsia="Times New Roman" w:cs="Calibri"/>
          <w:sz w:val="24"/>
          <w:szCs w:val="24"/>
          <w:lang w:val="ro-RO"/>
        </w:rPr>
        <w:t xml:space="preserve">la nivelul Uniunii Europene a fost adoptată </w:t>
      </w:r>
      <w:r w:rsidRPr="001C07B0">
        <w:rPr>
          <w:rFonts w:eastAsia="Times New Roman" w:cs="Times New Roman"/>
          <w:i/>
          <w:sz w:val="24"/>
          <w:szCs w:val="24"/>
        </w:rPr>
        <w:t>Comunicarea Comisiei Europene privind Planul de investiții din cadrul Pactului ecologic european</w:t>
      </w:r>
      <w:r w:rsidRPr="001C07B0">
        <w:rPr>
          <w:rStyle w:val="FootnoteReference"/>
          <w:rFonts w:eastAsia="Times New Roman" w:cs="Times New Roman"/>
          <w:i/>
        </w:rPr>
        <w:footnoteReference w:id="2"/>
      </w:r>
      <w:r w:rsidR="00201E84">
        <w:rPr>
          <w:rFonts w:eastAsia="Times New Roman" w:cs="Calibri"/>
          <w:i/>
          <w:sz w:val="24"/>
          <w:szCs w:val="24"/>
          <w:lang w:val="ro-RO"/>
        </w:rPr>
        <w:t xml:space="preserve"> </w:t>
      </w:r>
      <w:r w:rsidR="009A1126">
        <w:rPr>
          <w:rFonts w:eastAsia="Times New Roman" w:cs="Calibri"/>
          <w:sz w:val="24"/>
          <w:szCs w:val="24"/>
          <w:lang w:val="ro-RO"/>
        </w:rPr>
        <w:t xml:space="preserve">(denumit în continuare Plan) </w:t>
      </w:r>
      <w:r w:rsidR="00201E84">
        <w:rPr>
          <w:rFonts w:eastAsia="Times New Roman" w:cs="Calibri"/>
          <w:sz w:val="24"/>
          <w:szCs w:val="24"/>
          <w:lang w:val="ro-RO"/>
        </w:rPr>
        <w:t>care va mobiliza finanțarea Uniunii Europene pentru a crea un cadru care să permită facilitarea și stimularea investițiilor publice și private necesare pentru trecerea la o economie neutră din punctul de vedere al climei, verde, competitivă și incluzivă.</w:t>
      </w:r>
    </w:p>
    <w:p w14:paraId="529EB979" w14:textId="1CB4CE59" w:rsidR="009A1126" w:rsidRPr="009A1126" w:rsidRDefault="009A1126" w:rsidP="009A1126">
      <w:pPr>
        <w:tabs>
          <w:tab w:val="left" w:pos="450"/>
          <w:tab w:val="left" w:pos="5040"/>
        </w:tabs>
        <w:spacing w:before="120" w:after="0" w:line="240" w:lineRule="auto"/>
        <w:ind w:left="907" w:right="243"/>
        <w:rPr>
          <w:rFonts w:eastAsia="Times New Roman" w:cs="Calibri"/>
          <w:sz w:val="24"/>
          <w:szCs w:val="24"/>
          <w:lang w:val="ro-RO"/>
        </w:rPr>
      </w:pPr>
      <w:r>
        <w:rPr>
          <w:rFonts w:eastAsia="Times New Roman" w:cs="Calibri"/>
          <w:sz w:val="24"/>
          <w:szCs w:val="24"/>
          <w:lang w:val="ro-RO"/>
        </w:rPr>
        <w:t xml:space="preserve">În conformitate cu </w:t>
      </w:r>
      <w:r w:rsidRPr="009A1126">
        <w:rPr>
          <w:rFonts w:eastAsia="Times New Roman" w:cs="Calibri"/>
          <w:sz w:val="24"/>
          <w:szCs w:val="24"/>
          <w:lang w:val="ro-RO"/>
        </w:rPr>
        <w:t xml:space="preserve">prevederile de la pct. 4.3.3 Ajutor pentru încălzire centralizată din </w:t>
      </w:r>
      <w:r w:rsidRPr="001C07B0">
        <w:rPr>
          <w:rFonts w:eastAsia="Times New Roman" w:cs="Calibri"/>
          <w:i/>
          <w:sz w:val="24"/>
          <w:szCs w:val="24"/>
          <w:lang w:val="ro-RO"/>
        </w:rPr>
        <w:t>Comunicarea Comisiei Europene privind Planul de investiții din cadrul Pactului ecologic european</w:t>
      </w:r>
      <w:r>
        <w:rPr>
          <w:rFonts w:eastAsia="Times New Roman" w:cs="Calibri"/>
          <w:sz w:val="24"/>
          <w:szCs w:val="24"/>
          <w:lang w:val="ro-RO"/>
        </w:rPr>
        <w:t>, f</w:t>
      </w:r>
      <w:r w:rsidRPr="009A1126">
        <w:rPr>
          <w:rFonts w:eastAsia="Times New Roman" w:cs="Calibri"/>
          <w:sz w:val="24"/>
          <w:szCs w:val="24"/>
          <w:lang w:val="ro-RO"/>
        </w:rPr>
        <w:t xml:space="preserve">inanțarea de investiții în rețele de termoficare în cadrul Obiectivului specific 7.1 nu intră sub incidența controlului ajutoarelor de stat dacă se respectă </w:t>
      </w:r>
      <w:r>
        <w:rPr>
          <w:rFonts w:eastAsia="Times New Roman" w:cs="Calibri"/>
          <w:sz w:val="24"/>
          <w:szCs w:val="24"/>
          <w:lang w:val="ro-RO"/>
        </w:rPr>
        <w:t>următoarele condiții</w:t>
      </w:r>
      <w:r w:rsidRPr="009A1126">
        <w:rPr>
          <w:rFonts w:eastAsia="Times New Roman" w:cs="Calibri"/>
          <w:sz w:val="24"/>
          <w:szCs w:val="24"/>
          <w:lang w:val="ro-RO"/>
        </w:rPr>
        <w:t>:</w:t>
      </w:r>
    </w:p>
    <w:p w14:paraId="55259CED" w14:textId="77777777" w:rsidR="009A1126" w:rsidRDefault="009A1126" w:rsidP="00C817E2">
      <w:pPr>
        <w:pStyle w:val="ListParagraph"/>
        <w:numPr>
          <w:ilvl w:val="0"/>
          <w:numId w:val="1"/>
        </w:numPr>
        <w:tabs>
          <w:tab w:val="left" w:pos="450"/>
          <w:tab w:val="left" w:pos="5040"/>
        </w:tabs>
        <w:spacing w:before="40" w:after="0" w:line="240" w:lineRule="auto"/>
        <w:ind w:right="245"/>
        <w:rPr>
          <w:rFonts w:eastAsia="Times New Roman" w:cs="Calibri"/>
          <w:sz w:val="24"/>
          <w:szCs w:val="24"/>
          <w:lang w:val="ro-RO"/>
        </w:rPr>
      </w:pPr>
      <w:r w:rsidRPr="001C07B0">
        <w:rPr>
          <w:rFonts w:eastAsia="Times New Roman" w:cs="Calibri"/>
          <w:sz w:val="24"/>
          <w:szCs w:val="24"/>
          <w:lang w:val="ro-RO"/>
        </w:rPr>
        <w:t>sprijinul este limitat la rețelele centralizate de distribuție a agentului termic;</w:t>
      </w:r>
    </w:p>
    <w:p w14:paraId="5D03A3A1" w14:textId="77777777" w:rsidR="009A1126" w:rsidRDefault="009A1126" w:rsidP="00C817E2">
      <w:pPr>
        <w:pStyle w:val="ListParagraph"/>
        <w:numPr>
          <w:ilvl w:val="0"/>
          <w:numId w:val="1"/>
        </w:numPr>
        <w:tabs>
          <w:tab w:val="left" w:pos="450"/>
          <w:tab w:val="left" w:pos="5040"/>
        </w:tabs>
        <w:spacing w:before="40" w:after="0" w:line="240" w:lineRule="auto"/>
        <w:ind w:right="245"/>
        <w:rPr>
          <w:rFonts w:eastAsia="Times New Roman" w:cs="Calibri"/>
          <w:sz w:val="24"/>
          <w:szCs w:val="24"/>
          <w:lang w:val="ro-RO"/>
        </w:rPr>
      </w:pPr>
      <w:r w:rsidRPr="001C07B0">
        <w:rPr>
          <w:rFonts w:eastAsia="Times New Roman" w:cs="Calibri"/>
          <w:sz w:val="24"/>
          <w:szCs w:val="24"/>
          <w:lang w:val="ro-RO"/>
        </w:rPr>
        <w:t>distribuția agentului termic este separată de generarea agentului termic (două entități distincte);</w:t>
      </w:r>
    </w:p>
    <w:p w14:paraId="00B48D91" w14:textId="77777777" w:rsidR="009A1126" w:rsidRDefault="009A1126" w:rsidP="00C817E2">
      <w:pPr>
        <w:pStyle w:val="ListParagraph"/>
        <w:numPr>
          <w:ilvl w:val="0"/>
          <w:numId w:val="1"/>
        </w:numPr>
        <w:tabs>
          <w:tab w:val="left" w:pos="450"/>
          <w:tab w:val="left" w:pos="5040"/>
        </w:tabs>
        <w:spacing w:before="40" w:after="0" w:line="240" w:lineRule="auto"/>
        <w:ind w:right="245"/>
        <w:rPr>
          <w:rFonts w:eastAsia="Times New Roman" w:cs="Calibri"/>
          <w:sz w:val="24"/>
          <w:szCs w:val="24"/>
          <w:lang w:val="ro-RO"/>
        </w:rPr>
      </w:pPr>
      <w:r w:rsidRPr="001C07B0">
        <w:rPr>
          <w:rFonts w:eastAsia="Times New Roman" w:cs="Calibri"/>
          <w:sz w:val="24"/>
          <w:szCs w:val="24"/>
          <w:lang w:val="ro-RO"/>
        </w:rPr>
        <w:t>este permis accesul la rețea al terților;</w:t>
      </w:r>
    </w:p>
    <w:p w14:paraId="5F40C505" w14:textId="77777777" w:rsidR="009A1126" w:rsidRDefault="009A1126" w:rsidP="00C817E2">
      <w:pPr>
        <w:pStyle w:val="ListParagraph"/>
        <w:numPr>
          <w:ilvl w:val="0"/>
          <w:numId w:val="1"/>
        </w:numPr>
        <w:tabs>
          <w:tab w:val="left" w:pos="450"/>
          <w:tab w:val="left" w:pos="5040"/>
        </w:tabs>
        <w:spacing w:before="40" w:after="0" w:line="240" w:lineRule="auto"/>
        <w:ind w:right="245"/>
        <w:rPr>
          <w:rFonts w:eastAsia="Times New Roman" w:cs="Calibri"/>
          <w:sz w:val="24"/>
          <w:szCs w:val="24"/>
          <w:lang w:val="ro-RO"/>
        </w:rPr>
      </w:pPr>
      <w:r w:rsidRPr="001C07B0">
        <w:rPr>
          <w:rFonts w:eastAsia="Times New Roman" w:cs="Calibri"/>
          <w:sz w:val="24"/>
          <w:szCs w:val="24"/>
          <w:lang w:val="ro-RO"/>
        </w:rPr>
        <w:t xml:space="preserve">tarifele sunt reglementate. </w:t>
      </w:r>
    </w:p>
    <w:p w14:paraId="15340677" w14:textId="34B40F03" w:rsidR="009A1126" w:rsidRDefault="009A1126" w:rsidP="001C07B0">
      <w:pPr>
        <w:tabs>
          <w:tab w:val="left" w:pos="450"/>
          <w:tab w:val="left" w:pos="5040"/>
        </w:tabs>
        <w:spacing w:before="120" w:after="0" w:line="240" w:lineRule="auto"/>
        <w:ind w:left="900" w:right="243"/>
        <w:rPr>
          <w:rFonts w:eastAsia="Times New Roman" w:cs="Calibri"/>
          <w:sz w:val="24"/>
          <w:szCs w:val="24"/>
          <w:lang w:val="ro-RO"/>
        </w:rPr>
      </w:pPr>
      <w:r w:rsidRPr="009A1126">
        <w:rPr>
          <w:rFonts w:eastAsia="Times New Roman" w:cs="Calibri"/>
          <w:sz w:val="24"/>
          <w:szCs w:val="24"/>
          <w:lang w:val="ro-RO"/>
        </w:rPr>
        <w:t>În cazul în care condițiile de mai sus nu sunt îndeplinite cumulativ, finanțarea proiectelor de investiții în rețele de termoficare din cadrul Obiectivului specific 7.1 se supune regulilor privind ajutorul de stat și se acordă în baza Schemei de ajutor de stat privind sprijinirea investițiilor în dezvoltarea infrastructurii de termoficare-componenta distribuție, institută în conformitate cu prevederile Regulamentului (UE) nr. 651/2014 de declarare a anumitor categorii de ajutoare compatibile cu piața internă în aplicarea articolelor 107 și 108 din tratat (Regulamentul de exceptare a notificării ajutorului de stat),  Articolul 46-Ajutoarele pentru investiții în favoarea sistemelor de termoficare și răcire centralizată eficiente din punct de vedere energetic.</w:t>
      </w:r>
    </w:p>
    <w:p w14:paraId="065BCC6C" w14:textId="77777777" w:rsidR="00800B42" w:rsidRDefault="00800B42" w:rsidP="00015CC3">
      <w:pPr>
        <w:tabs>
          <w:tab w:val="left" w:pos="450"/>
          <w:tab w:val="left" w:pos="5040"/>
        </w:tabs>
        <w:spacing w:before="120" w:after="0" w:line="240" w:lineRule="auto"/>
        <w:ind w:left="907" w:right="243"/>
        <w:rPr>
          <w:rFonts w:eastAsia="Times New Roman" w:cs="Calibri"/>
          <w:sz w:val="24"/>
          <w:szCs w:val="24"/>
          <w:lang w:val="ro-RO"/>
        </w:rPr>
      </w:pPr>
      <w:r w:rsidRPr="00800B42">
        <w:rPr>
          <w:rFonts w:eastAsia="Times New Roman" w:cs="Calibri"/>
          <w:sz w:val="24"/>
          <w:szCs w:val="24"/>
          <w:lang w:val="ro-RO"/>
        </w:rPr>
        <w:t>Având în vedere</w:t>
      </w:r>
      <w:r>
        <w:rPr>
          <w:rFonts w:eastAsia="Times New Roman" w:cs="Calibri"/>
          <w:sz w:val="24"/>
          <w:szCs w:val="24"/>
          <w:lang w:val="ro-RO"/>
        </w:rPr>
        <w:t>:</w:t>
      </w:r>
    </w:p>
    <w:p w14:paraId="0ABDF713" w14:textId="43DB90DF" w:rsidR="00800B42" w:rsidRDefault="00800B42" w:rsidP="00015CC3">
      <w:pPr>
        <w:tabs>
          <w:tab w:val="left" w:pos="450"/>
          <w:tab w:val="left" w:pos="5040"/>
        </w:tabs>
        <w:spacing w:before="120" w:after="0" w:line="240" w:lineRule="auto"/>
        <w:ind w:left="907" w:right="243"/>
        <w:rPr>
          <w:rFonts w:eastAsia="Times New Roman" w:cs="Calibri"/>
          <w:sz w:val="24"/>
          <w:szCs w:val="24"/>
          <w:lang w:val="ro-RO"/>
        </w:rPr>
      </w:pPr>
      <w:r>
        <w:rPr>
          <w:rFonts w:eastAsia="Times New Roman" w:cs="Calibri"/>
          <w:sz w:val="24"/>
          <w:szCs w:val="24"/>
          <w:lang w:val="ro-RO"/>
        </w:rPr>
        <w:t xml:space="preserve">- </w:t>
      </w:r>
      <w:r w:rsidRPr="00800B42">
        <w:rPr>
          <w:rFonts w:eastAsia="Times New Roman" w:cs="Calibri"/>
          <w:sz w:val="24"/>
          <w:szCs w:val="24"/>
          <w:lang w:val="ro-RO"/>
        </w:rPr>
        <w:t xml:space="preserve">soluționarea problematicii ajutorului de stat în cazul acestui tip de investiții, conform adresei Consiliului Concurenței nr. </w:t>
      </w:r>
      <w:r w:rsidR="009A1126">
        <w:rPr>
          <w:rFonts w:eastAsia="Times New Roman" w:cs="Calibri"/>
          <w:sz w:val="24"/>
          <w:szCs w:val="24"/>
          <w:lang w:val="ro-RO"/>
        </w:rPr>
        <w:t>17802</w:t>
      </w:r>
      <w:r w:rsidR="009A1126" w:rsidRPr="00CF2878">
        <w:rPr>
          <w:rFonts w:eastAsia="Times New Roman" w:cs="Calibri"/>
          <w:sz w:val="24"/>
          <w:szCs w:val="24"/>
          <w:lang w:val="ro-RO"/>
        </w:rPr>
        <w:t>/</w:t>
      </w:r>
      <w:r w:rsidR="009A1126">
        <w:rPr>
          <w:rFonts w:eastAsia="Times New Roman" w:cs="Calibri"/>
          <w:sz w:val="24"/>
          <w:szCs w:val="24"/>
          <w:lang w:val="ro-RO"/>
        </w:rPr>
        <w:t>18</w:t>
      </w:r>
      <w:r w:rsidR="009A1126" w:rsidRPr="00CF2878">
        <w:rPr>
          <w:rFonts w:eastAsia="Times New Roman" w:cs="Calibri"/>
          <w:sz w:val="24"/>
          <w:szCs w:val="24"/>
          <w:lang w:val="ro-RO"/>
        </w:rPr>
        <w:t>.</w:t>
      </w:r>
      <w:r w:rsidR="009A1126">
        <w:rPr>
          <w:rFonts w:eastAsia="Times New Roman" w:cs="Calibri"/>
          <w:sz w:val="24"/>
          <w:szCs w:val="24"/>
          <w:lang w:val="ro-RO"/>
        </w:rPr>
        <w:t>12</w:t>
      </w:r>
      <w:r w:rsidR="009A1126" w:rsidRPr="00CF2878">
        <w:rPr>
          <w:rFonts w:eastAsia="Times New Roman" w:cs="Calibri"/>
          <w:sz w:val="24"/>
          <w:szCs w:val="24"/>
          <w:lang w:val="ro-RO"/>
        </w:rPr>
        <w:t>.2019</w:t>
      </w:r>
      <w:r>
        <w:rPr>
          <w:rFonts w:eastAsia="Times New Roman" w:cs="Calibri"/>
          <w:sz w:val="24"/>
          <w:szCs w:val="24"/>
          <w:lang w:val="ro-RO"/>
        </w:rPr>
        <w:t>,</w:t>
      </w:r>
    </w:p>
    <w:p w14:paraId="34BC395A" w14:textId="33A982FE" w:rsidR="003C2CBD" w:rsidRDefault="00800B42" w:rsidP="003C2CBD">
      <w:pPr>
        <w:tabs>
          <w:tab w:val="left" w:pos="450"/>
          <w:tab w:val="left" w:pos="5040"/>
        </w:tabs>
        <w:spacing w:before="120" w:after="0" w:line="240" w:lineRule="auto"/>
        <w:ind w:left="907" w:right="243"/>
        <w:rPr>
          <w:rFonts w:eastAsia="Times New Roman" w:cs="Calibri"/>
          <w:sz w:val="24"/>
          <w:szCs w:val="24"/>
          <w:lang w:val="ro-RO"/>
        </w:rPr>
      </w:pPr>
      <w:r>
        <w:rPr>
          <w:rFonts w:eastAsia="Times New Roman" w:cs="Calibri"/>
          <w:sz w:val="24"/>
          <w:szCs w:val="24"/>
          <w:lang w:val="ro-RO"/>
        </w:rPr>
        <w:t xml:space="preserve">- nivelul de supracontractare maxim </w:t>
      </w:r>
      <w:r w:rsidR="0014465F">
        <w:rPr>
          <w:rFonts w:eastAsia="Times New Roman" w:cs="Calibri"/>
          <w:sz w:val="24"/>
          <w:szCs w:val="24"/>
          <w:lang w:val="ro-RO"/>
        </w:rPr>
        <w:t>conform</w:t>
      </w:r>
      <w:r>
        <w:rPr>
          <w:rFonts w:eastAsia="Times New Roman" w:cs="Calibri"/>
          <w:sz w:val="24"/>
          <w:szCs w:val="24"/>
          <w:lang w:val="ro-RO"/>
        </w:rPr>
        <w:t xml:space="preserve"> legislați</w:t>
      </w:r>
      <w:r w:rsidR="0014465F">
        <w:rPr>
          <w:rFonts w:eastAsia="Times New Roman" w:cs="Calibri"/>
          <w:sz w:val="24"/>
          <w:szCs w:val="24"/>
          <w:lang w:val="ro-RO"/>
        </w:rPr>
        <w:t>ei</w:t>
      </w:r>
      <w:r>
        <w:rPr>
          <w:rFonts w:eastAsia="Times New Roman" w:cs="Calibri"/>
          <w:sz w:val="24"/>
          <w:szCs w:val="24"/>
          <w:lang w:val="ro-RO"/>
        </w:rPr>
        <w:t xml:space="preserve"> în vigoare</w:t>
      </w:r>
      <w:r>
        <w:rPr>
          <w:rStyle w:val="FootnoteReference"/>
          <w:rFonts w:eastAsia="Times New Roman" w:cs="Calibri"/>
          <w:sz w:val="24"/>
          <w:szCs w:val="24"/>
          <w:lang w:val="ro-RO"/>
        </w:rPr>
        <w:footnoteReference w:id="3"/>
      </w:r>
      <w:r w:rsidR="007D0E9D">
        <w:rPr>
          <w:rFonts w:eastAsia="Times New Roman" w:cs="Calibri"/>
          <w:sz w:val="24"/>
          <w:szCs w:val="24"/>
          <w:lang w:val="ro-RO"/>
        </w:rPr>
        <w:t xml:space="preserve"> pentru OS 7.1</w:t>
      </w:r>
      <w:r>
        <w:rPr>
          <w:rFonts w:eastAsia="Times New Roman" w:cs="Calibri"/>
          <w:sz w:val="24"/>
          <w:szCs w:val="24"/>
          <w:lang w:val="ro-RO"/>
        </w:rPr>
        <w:t xml:space="preserve"> de aprox. </w:t>
      </w:r>
      <w:r w:rsidR="00672A00">
        <w:rPr>
          <w:rFonts w:eastAsia="Times New Roman" w:cs="Calibri"/>
          <w:sz w:val="24"/>
          <w:szCs w:val="24"/>
          <w:lang w:val="ro-RO"/>
        </w:rPr>
        <w:t>272</w:t>
      </w:r>
      <w:r>
        <w:rPr>
          <w:rFonts w:eastAsia="Times New Roman" w:cs="Calibri"/>
          <w:sz w:val="24"/>
          <w:szCs w:val="24"/>
          <w:lang w:val="ro-RO"/>
        </w:rPr>
        <w:t xml:space="preserve"> mil. € care permite, condiționat de îndeplinirea criteriilor de evaluare și selecție, contractarea tuturor proiectelor depuse până la </w:t>
      </w:r>
      <w:r w:rsidR="00672A00">
        <w:rPr>
          <w:rFonts w:eastAsia="Times New Roman" w:cs="Calibri"/>
          <w:sz w:val="24"/>
          <w:szCs w:val="24"/>
          <w:lang w:val="ro-RO"/>
        </w:rPr>
        <w:t>data de 09.07.2020</w:t>
      </w:r>
      <w:r>
        <w:rPr>
          <w:rFonts w:eastAsia="Times New Roman" w:cs="Calibri"/>
          <w:sz w:val="24"/>
          <w:szCs w:val="24"/>
          <w:lang w:val="ro-RO"/>
        </w:rPr>
        <w:t xml:space="preserve"> în cadrul apelului de proiecte aferent OS </w:t>
      </w:r>
      <w:r w:rsidR="00672A00">
        <w:rPr>
          <w:rFonts w:eastAsia="Times New Roman" w:cs="Calibri"/>
          <w:sz w:val="24"/>
          <w:szCs w:val="24"/>
          <w:lang w:val="ro-RO"/>
        </w:rPr>
        <w:t>7</w:t>
      </w:r>
      <w:r>
        <w:rPr>
          <w:rFonts w:eastAsia="Times New Roman" w:cs="Calibri"/>
          <w:sz w:val="24"/>
          <w:szCs w:val="24"/>
          <w:lang w:val="ro-RO"/>
        </w:rPr>
        <w:t xml:space="preserve">.1 – </w:t>
      </w:r>
      <w:r w:rsidR="00672A00" w:rsidRPr="001C07B0">
        <w:rPr>
          <w:rFonts w:eastAsia="Times New Roman" w:cs="Calibri"/>
          <w:i/>
          <w:sz w:val="24"/>
          <w:szCs w:val="24"/>
          <w:lang w:val="ro-RO"/>
        </w:rPr>
        <w:t>Creşterea eficienţei energetice în sistemele centralizate de transport şi distribuţie a energiei termice în oraşele selectate</w:t>
      </w:r>
      <w:r>
        <w:rPr>
          <w:rFonts w:eastAsia="Times New Roman" w:cs="Calibri"/>
          <w:sz w:val="24"/>
          <w:szCs w:val="24"/>
          <w:lang w:val="ro-RO"/>
        </w:rPr>
        <w:t xml:space="preserve"> în valoare eligibilă de </w:t>
      </w:r>
      <w:r w:rsidR="000D2033">
        <w:rPr>
          <w:rFonts w:eastAsia="Times New Roman" w:cs="Calibri"/>
          <w:sz w:val="24"/>
          <w:szCs w:val="24"/>
          <w:lang w:val="ro-RO"/>
        </w:rPr>
        <w:t>7,18</w:t>
      </w:r>
      <w:r>
        <w:rPr>
          <w:rFonts w:eastAsia="Times New Roman" w:cs="Calibri"/>
          <w:sz w:val="24"/>
          <w:szCs w:val="24"/>
          <w:lang w:val="ro-RO"/>
        </w:rPr>
        <w:t xml:space="preserve"> mil.</w:t>
      </w:r>
      <w:r w:rsidR="003C2CBD">
        <w:rPr>
          <w:rFonts w:eastAsia="Times New Roman" w:cs="Calibri"/>
          <w:sz w:val="24"/>
          <w:szCs w:val="24"/>
          <w:lang w:val="ro-RO"/>
        </w:rPr>
        <w:t xml:space="preserve"> €,</w:t>
      </w:r>
    </w:p>
    <w:p w14:paraId="33F1141D" w14:textId="2BFCB499" w:rsidR="00800B42" w:rsidRDefault="003C2CBD" w:rsidP="003C2CBD">
      <w:pPr>
        <w:tabs>
          <w:tab w:val="left" w:pos="450"/>
          <w:tab w:val="left" w:pos="5040"/>
        </w:tabs>
        <w:spacing w:before="120" w:after="0" w:line="240" w:lineRule="auto"/>
        <w:ind w:left="907" w:right="243"/>
        <w:rPr>
          <w:rFonts w:eastAsia="Times New Roman" w:cs="Calibri"/>
          <w:sz w:val="24"/>
          <w:szCs w:val="24"/>
          <w:lang w:val="ro-RO"/>
        </w:rPr>
      </w:pPr>
      <w:r>
        <w:rPr>
          <w:rFonts w:eastAsia="Times New Roman" w:cs="Calibri"/>
          <w:sz w:val="24"/>
          <w:szCs w:val="24"/>
          <w:lang w:val="ro-RO"/>
        </w:rPr>
        <w:t>- întârzierile foarte mari (</w:t>
      </w:r>
      <w:r w:rsidR="000D2033">
        <w:rPr>
          <w:rFonts w:eastAsia="Times New Roman" w:cs="Calibri"/>
          <w:sz w:val="24"/>
          <w:szCs w:val="24"/>
          <w:lang w:val="ro-RO"/>
        </w:rPr>
        <w:t>5 luni</w:t>
      </w:r>
      <w:r>
        <w:rPr>
          <w:rFonts w:eastAsia="Times New Roman" w:cs="Calibri"/>
          <w:sz w:val="24"/>
          <w:szCs w:val="24"/>
          <w:lang w:val="ro-RO"/>
        </w:rPr>
        <w:t xml:space="preserve">) înregistrate în procesul de evaluare și selecție a proiectelor aferente OS </w:t>
      </w:r>
      <w:r w:rsidR="000D2033">
        <w:rPr>
          <w:rFonts w:eastAsia="Times New Roman" w:cs="Calibri"/>
          <w:sz w:val="24"/>
          <w:szCs w:val="24"/>
          <w:lang w:val="ro-RO"/>
        </w:rPr>
        <w:t>7</w:t>
      </w:r>
      <w:r>
        <w:rPr>
          <w:rFonts w:eastAsia="Times New Roman" w:cs="Calibri"/>
          <w:sz w:val="24"/>
          <w:szCs w:val="24"/>
          <w:lang w:val="ro-RO"/>
        </w:rPr>
        <w:t>.1 din cauza perioadei îndelungate care a fost necesară pentru clarificarea incidenței ajutorului de stat,</w:t>
      </w:r>
    </w:p>
    <w:p w14:paraId="6D2D24CF" w14:textId="3C2B67DF" w:rsidR="00687998" w:rsidRPr="00693F0B" w:rsidRDefault="00FF6F18" w:rsidP="00693F0B">
      <w:pPr>
        <w:tabs>
          <w:tab w:val="left" w:pos="450"/>
          <w:tab w:val="left" w:pos="5040"/>
        </w:tabs>
        <w:spacing w:before="120" w:after="0" w:line="240" w:lineRule="auto"/>
        <w:ind w:left="907" w:right="243"/>
        <w:rPr>
          <w:rFonts w:eastAsia="Times New Roman" w:cs="Calibri"/>
          <w:sz w:val="24"/>
          <w:szCs w:val="24"/>
          <w:lang w:val="ro-RO"/>
        </w:rPr>
      </w:pPr>
      <w:r w:rsidRPr="00FF6F18">
        <w:rPr>
          <w:rFonts w:eastAsia="Times New Roman" w:cs="Calibri"/>
          <w:b/>
          <w:sz w:val="24"/>
          <w:szCs w:val="24"/>
          <w:lang w:val="ro-RO"/>
        </w:rPr>
        <w:t>Propunem aprobarea</w:t>
      </w:r>
      <w:r>
        <w:rPr>
          <w:rFonts w:eastAsia="Times New Roman" w:cs="Calibri"/>
          <w:sz w:val="24"/>
          <w:szCs w:val="24"/>
          <w:lang w:val="ro-RO"/>
        </w:rPr>
        <w:t xml:space="preserve"> </w:t>
      </w:r>
      <w:r w:rsidRPr="00AB67D7">
        <w:rPr>
          <w:rFonts w:eastAsia="Times New Roman" w:cs="Calibri"/>
          <w:b/>
          <w:sz w:val="24"/>
          <w:szCs w:val="24"/>
          <w:lang w:val="ro-RO"/>
        </w:rPr>
        <w:t>evaluării cererilor de finanțare care fac obiectul prezentei note prin raportare la punctul de vedere emis de către experții CE și comunicat AM POIM prin</w:t>
      </w:r>
      <w:r>
        <w:rPr>
          <w:rFonts w:eastAsia="Times New Roman" w:cs="Calibri"/>
          <w:b/>
          <w:sz w:val="24"/>
          <w:szCs w:val="24"/>
          <w:lang w:val="ro-RO"/>
        </w:rPr>
        <w:t xml:space="preserve"> adresa Consiliului Concurenței menționată, precum și selecția acestora pentru finanțare, în cazul îndeplinirii criteriilor de evaluare aplicabile</w:t>
      </w:r>
      <w:r w:rsidR="00693F0B">
        <w:rPr>
          <w:rFonts w:eastAsia="Times New Roman" w:cs="Calibri"/>
          <w:b/>
          <w:sz w:val="24"/>
          <w:szCs w:val="24"/>
          <w:lang w:val="ro-RO"/>
        </w:rPr>
        <w:t>.</w:t>
      </w:r>
      <w:bookmarkStart w:id="0" w:name="_GoBack"/>
      <w:bookmarkEnd w:id="0"/>
    </w:p>
    <w:p w14:paraId="77EA0B76" w14:textId="77777777" w:rsidR="00EA57C6" w:rsidRPr="0014797E" w:rsidRDefault="00EA57C6" w:rsidP="007E7259">
      <w:pPr>
        <w:tabs>
          <w:tab w:val="left" w:pos="810"/>
          <w:tab w:val="left" w:pos="1440"/>
          <w:tab w:val="left" w:pos="2070"/>
        </w:tabs>
        <w:spacing w:after="0" w:line="240" w:lineRule="auto"/>
        <w:ind w:left="0"/>
        <w:jc w:val="left"/>
        <w:rPr>
          <w:rFonts w:eastAsia="MS Gothic" w:cstheme="minorHAnsi"/>
          <w:b/>
          <w:bCs/>
          <w:kern w:val="28"/>
          <w:sz w:val="24"/>
          <w:szCs w:val="24"/>
          <w:lang w:val="ro-RO"/>
        </w:rPr>
      </w:pPr>
    </w:p>
    <w:sectPr w:rsidR="00EA57C6" w:rsidRPr="0014797E" w:rsidSect="0014797E">
      <w:headerReference w:type="default" r:id="rId8"/>
      <w:footerReference w:type="default" r:id="rId9"/>
      <w:headerReference w:type="first" r:id="rId10"/>
      <w:footerReference w:type="first" r:id="rId11"/>
      <w:pgSz w:w="11900" w:h="16840"/>
      <w:pgMar w:top="1139" w:right="560" w:bottom="1135" w:left="567" w:header="72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26B73" w14:textId="77777777" w:rsidR="00A52577" w:rsidRDefault="00A52577" w:rsidP="00CD5B3B">
      <w:pPr>
        <w:rPr>
          <w:rFonts w:cs="Times New Roman"/>
        </w:rPr>
      </w:pPr>
      <w:r>
        <w:rPr>
          <w:rFonts w:cs="Times New Roman"/>
        </w:rPr>
        <w:separator/>
      </w:r>
    </w:p>
  </w:endnote>
  <w:endnote w:type="continuationSeparator" w:id="0">
    <w:p w14:paraId="726B487C" w14:textId="77777777" w:rsidR="00A52577" w:rsidRDefault="00A52577"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758E7" w14:textId="77777777" w:rsidR="00CC7455" w:rsidRPr="00864E88" w:rsidRDefault="00CC7455" w:rsidP="003E5A35">
    <w:pPr>
      <w:pStyle w:val="Footer"/>
      <w:spacing w:after="0" w:line="240" w:lineRule="auto"/>
      <w:ind w:left="1440"/>
      <w:rPr>
        <w:rFonts w:ascii="Trebuchet MS" w:hAnsi="Trebuchet MS"/>
        <w:sz w:val="12"/>
        <w:szCs w:val="14"/>
      </w:rPr>
    </w:pPr>
    <w:r w:rsidRPr="00864E88">
      <w:rPr>
        <w:rFonts w:ascii="Trebuchet MS" w:hAnsi="Trebuchet MS"/>
        <w:sz w:val="12"/>
        <w:szCs w:val="14"/>
      </w:rPr>
      <w:t>Autoritatea de Management pentru Programul Operațional Infrastructură Mare</w:t>
    </w:r>
  </w:p>
  <w:p w14:paraId="573A79A5" w14:textId="77777777" w:rsidR="00CC7455" w:rsidRPr="00864E88" w:rsidRDefault="00CC7455" w:rsidP="003E5A35">
    <w:pPr>
      <w:pStyle w:val="Footer"/>
      <w:spacing w:after="0" w:line="240" w:lineRule="auto"/>
      <w:ind w:left="1440"/>
      <w:rPr>
        <w:rFonts w:ascii="Trebuchet MS" w:hAnsi="Trebuchet MS"/>
        <w:sz w:val="12"/>
        <w:szCs w:val="14"/>
      </w:rPr>
    </w:pPr>
    <w:r w:rsidRPr="00864E88">
      <w:rPr>
        <w:rFonts w:ascii="Trebuchet MS" w:hAnsi="Trebuchet MS"/>
        <w:sz w:val="12"/>
        <w:szCs w:val="14"/>
      </w:rPr>
      <w:t>Șos. București Ploiești 11b, Sector 1, București</w:t>
    </w:r>
  </w:p>
  <w:p w14:paraId="7959A613" w14:textId="77777777" w:rsidR="000A364C" w:rsidRPr="000A364C" w:rsidRDefault="00A52577" w:rsidP="000A364C">
    <w:pPr>
      <w:pStyle w:val="Footer"/>
      <w:spacing w:after="0" w:line="240" w:lineRule="auto"/>
      <w:ind w:left="1440"/>
      <w:rPr>
        <w:rFonts w:ascii="Trebuchet MS" w:hAnsi="Trebuchet MS"/>
        <w:sz w:val="12"/>
        <w:szCs w:val="12"/>
      </w:rPr>
    </w:pPr>
    <w:hyperlink r:id="rId1" w:history="1">
      <w:r w:rsidR="000A364C" w:rsidRPr="000A364C">
        <w:rPr>
          <w:rFonts w:ascii="Trebuchet MS" w:hAnsi="Trebuchet MS"/>
          <w:sz w:val="12"/>
          <w:szCs w:val="12"/>
        </w:rPr>
        <w:t>secretariat.dgpim@fonduri-ue.ro</w:t>
      </w:r>
    </w:hyperlink>
  </w:p>
  <w:p w14:paraId="7F451FC2" w14:textId="77777777" w:rsidR="000A364C" w:rsidRDefault="000A364C" w:rsidP="000A364C">
    <w:pPr>
      <w:pStyle w:val="Footer"/>
      <w:spacing w:after="0" w:line="240" w:lineRule="auto"/>
      <w:ind w:left="1440"/>
      <w:rPr>
        <w:rFonts w:ascii="Trebuchet MS" w:hAnsi="Trebuchet MS"/>
        <w:sz w:val="12"/>
        <w:szCs w:val="14"/>
      </w:rPr>
    </w:pPr>
    <w:r w:rsidRPr="00333344">
      <w:rPr>
        <w:rStyle w:val="Hyperlink"/>
        <w:rFonts w:ascii="Trebuchet MS" w:hAnsi="Trebuchet MS"/>
        <w:sz w:val="12"/>
        <w:szCs w:val="14"/>
      </w:rPr>
      <w:t>http://mfe.gov.</w:t>
    </w:r>
    <w:r>
      <w:rPr>
        <w:rStyle w:val="Hyperlink"/>
        <w:rFonts w:ascii="Trebuchet MS" w:hAnsi="Trebuchet MS"/>
        <w:sz w:val="12"/>
        <w:szCs w:val="14"/>
      </w:rPr>
      <w:t>ro</w:t>
    </w:r>
  </w:p>
  <w:p w14:paraId="19E0553B" w14:textId="77777777" w:rsidR="00CC7455" w:rsidRPr="00BE1B53" w:rsidRDefault="00CC7455" w:rsidP="00BE1B53">
    <w:pPr>
      <w:pStyle w:val="Footer"/>
      <w:jc w:val="right"/>
      <w:rPr>
        <w:rFonts w:ascii="Trebuchet MS" w:hAnsi="Trebuchet MS" w:cs="Trebuchet MS"/>
        <w:i/>
        <w:sz w:val="14"/>
        <w:szCs w:val="14"/>
        <w:lang w:val="ro-RO"/>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79594" w14:textId="77777777" w:rsidR="00CC7455" w:rsidRPr="00864E88" w:rsidRDefault="00CC7455" w:rsidP="00864E88">
    <w:pPr>
      <w:pStyle w:val="Footer"/>
      <w:spacing w:after="0" w:line="240" w:lineRule="auto"/>
      <w:ind w:left="1440"/>
      <w:rPr>
        <w:rFonts w:ascii="Trebuchet MS" w:hAnsi="Trebuchet MS"/>
        <w:sz w:val="12"/>
        <w:szCs w:val="14"/>
      </w:rPr>
    </w:pPr>
    <w:r w:rsidRPr="00864E88">
      <w:rPr>
        <w:rFonts w:ascii="Trebuchet MS" w:hAnsi="Trebuchet MS"/>
        <w:sz w:val="12"/>
        <w:szCs w:val="14"/>
      </w:rPr>
      <w:t>Autoritatea de Management pentru Programul Operațional Infrastructură Mare</w:t>
    </w:r>
  </w:p>
  <w:p w14:paraId="64F24FA4" w14:textId="77777777" w:rsidR="00CC7455" w:rsidRPr="00864E88" w:rsidRDefault="00CC7455" w:rsidP="00864E88">
    <w:pPr>
      <w:pStyle w:val="Footer"/>
      <w:spacing w:after="0" w:line="240" w:lineRule="auto"/>
      <w:ind w:left="1440"/>
      <w:rPr>
        <w:rFonts w:ascii="Trebuchet MS" w:hAnsi="Trebuchet MS"/>
        <w:sz w:val="12"/>
        <w:szCs w:val="14"/>
      </w:rPr>
    </w:pPr>
    <w:r w:rsidRPr="00864E88">
      <w:rPr>
        <w:rFonts w:ascii="Trebuchet MS" w:hAnsi="Trebuchet MS"/>
        <w:sz w:val="12"/>
        <w:szCs w:val="14"/>
      </w:rPr>
      <w:t>Șos. București Ploiești 11b, Sector 1, București</w:t>
    </w:r>
  </w:p>
  <w:p w14:paraId="3EE6309A" w14:textId="77777777" w:rsidR="00CC7455" w:rsidRPr="00864E88" w:rsidRDefault="00CC7455" w:rsidP="00864E88">
    <w:pPr>
      <w:pStyle w:val="Footer"/>
      <w:spacing w:after="0" w:line="240" w:lineRule="auto"/>
      <w:ind w:left="1440"/>
      <w:rPr>
        <w:rFonts w:ascii="Trebuchet MS" w:hAnsi="Trebuchet MS"/>
        <w:sz w:val="12"/>
        <w:szCs w:val="14"/>
      </w:rPr>
    </w:pPr>
    <w:r w:rsidRPr="00864E88">
      <w:rPr>
        <w:rFonts w:ascii="Trebuchet MS" w:hAnsi="Trebuchet MS"/>
        <w:sz w:val="12"/>
        <w:szCs w:val="14"/>
      </w:rPr>
      <w:t>secretariat.dgpim@fonduri-ue.ro</w:t>
    </w:r>
  </w:p>
  <w:p w14:paraId="1FE35E9C" w14:textId="77777777" w:rsidR="00CC7455" w:rsidRDefault="00333344" w:rsidP="00864E88">
    <w:pPr>
      <w:pStyle w:val="Footer"/>
      <w:spacing w:after="0" w:line="240" w:lineRule="auto"/>
      <w:ind w:left="1440"/>
      <w:rPr>
        <w:rFonts w:ascii="Trebuchet MS" w:hAnsi="Trebuchet MS"/>
        <w:sz w:val="12"/>
        <w:szCs w:val="14"/>
      </w:rPr>
    </w:pPr>
    <w:r w:rsidRPr="00333344">
      <w:rPr>
        <w:rStyle w:val="Hyperlink"/>
        <w:rFonts w:ascii="Trebuchet MS" w:hAnsi="Trebuchet MS"/>
        <w:sz w:val="12"/>
        <w:szCs w:val="14"/>
      </w:rPr>
      <w:t>http://mfe.gov.</w:t>
    </w:r>
    <w:r w:rsidR="00CC2FCE">
      <w:rPr>
        <w:rStyle w:val="Hyperlink"/>
        <w:rFonts w:ascii="Trebuchet MS" w:hAnsi="Trebuchet MS"/>
        <w:sz w:val="12"/>
        <w:szCs w:val="14"/>
      </w:rPr>
      <w:t>ro</w:t>
    </w:r>
  </w:p>
  <w:p w14:paraId="70B15844" w14:textId="77777777" w:rsidR="00CC7455" w:rsidRPr="00954161" w:rsidRDefault="00CC7455" w:rsidP="00954161">
    <w:pPr>
      <w:pStyle w:val="Footer"/>
      <w:ind w:left="0"/>
      <w:jc w:val="right"/>
      <w:rPr>
        <w:rFonts w:ascii="Trebuchet MS" w:hAnsi="Trebuchet MS"/>
        <w:i/>
        <w:sz w:val="12"/>
        <w:szCs w:val="1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F62EB" w14:textId="77777777" w:rsidR="00A52577" w:rsidRDefault="00A52577" w:rsidP="00CD5B3B">
      <w:pPr>
        <w:rPr>
          <w:rFonts w:cs="Times New Roman"/>
        </w:rPr>
      </w:pPr>
      <w:r>
        <w:rPr>
          <w:rFonts w:cs="Times New Roman"/>
        </w:rPr>
        <w:separator/>
      </w:r>
    </w:p>
  </w:footnote>
  <w:footnote w:type="continuationSeparator" w:id="0">
    <w:p w14:paraId="627BB04A" w14:textId="77777777" w:rsidR="00A52577" w:rsidRDefault="00A52577" w:rsidP="00CD5B3B">
      <w:pPr>
        <w:rPr>
          <w:rFonts w:cs="Times New Roman"/>
        </w:rPr>
      </w:pPr>
      <w:r>
        <w:rPr>
          <w:rFonts w:cs="Times New Roman"/>
        </w:rPr>
        <w:continuationSeparator/>
      </w:r>
    </w:p>
  </w:footnote>
  <w:footnote w:id="1">
    <w:p w14:paraId="34918251" w14:textId="77777777" w:rsidR="004E3857" w:rsidRPr="004E3857" w:rsidRDefault="004E3857">
      <w:pPr>
        <w:pStyle w:val="FootnoteText"/>
        <w:rPr>
          <w:lang w:val="ro-RO"/>
        </w:rPr>
      </w:pPr>
      <w:r>
        <w:rPr>
          <w:rStyle w:val="FootnoteReference"/>
        </w:rPr>
        <w:footnoteRef/>
      </w:r>
      <w:r w:rsidRPr="004E3857">
        <w:rPr>
          <w:rFonts w:eastAsia="Times New Roman" w:cs="Calibri"/>
          <w:sz w:val="16"/>
          <w:szCs w:val="16"/>
          <w:lang w:val="ro-RO"/>
        </w:rPr>
        <w:t>Decizia CE 2012/21/CE</w:t>
      </w:r>
      <w:r w:rsidRPr="004E3857">
        <w:rPr>
          <w:sz w:val="16"/>
          <w:szCs w:val="16"/>
        </w:rPr>
        <w:t xml:space="preserve"> </w:t>
      </w:r>
      <w:r w:rsidRPr="004E3857">
        <w:rPr>
          <w:rFonts w:eastAsia="Times New Roman" w:cs="Calibri"/>
          <w:sz w:val="16"/>
          <w:szCs w:val="16"/>
          <w:lang w:val="ro-RO"/>
        </w:rPr>
        <w:t>privind aplicarea articolului 106 alineatul (2) din Tratatul privind funcţionarea Uniunii Europene în cazul ajutoarelor de stat sub formă de compensaţii pentru obligaţia de serviciu public acordate anumitor întreprinderi cărora le-a fost încredinţată prestarea unui Serviciu de Interes Economic General (SIEG)</w:t>
      </w:r>
    </w:p>
  </w:footnote>
  <w:footnote w:id="2">
    <w:p w14:paraId="10E62563" w14:textId="77777777" w:rsidR="00AF04FF" w:rsidRPr="00953BEE" w:rsidRDefault="00AF04FF" w:rsidP="00AF04FF">
      <w:pPr>
        <w:pStyle w:val="FootnoteText"/>
        <w:rPr>
          <w:i/>
        </w:rPr>
      </w:pPr>
      <w:r w:rsidRPr="001C07B0">
        <w:rPr>
          <w:rStyle w:val="FootnoteReference"/>
          <w:i/>
          <w:sz w:val="16"/>
          <w:szCs w:val="16"/>
        </w:rPr>
        <w:footnoteRef/>
      </w:r>
      <w:r w:rsidRPr="001C07B0">
        <w:rPr>
          <w:i/>
          <w:sz w:val="16"/>
          <w:szCs w:val="16"/>
        </w:rPr>
        <w:t xml:space="preserve"> The European Green Deal Investment Plan</w:t>
      </w:r>
    </w:p>
  </w:footnote>
  <w:footnote w:id="3">
    <w:p w14:paraId="6143E628" w14:textId="77777777" w:rsidR="00800B42" w:rsidRPr="00800B42" w:rsidRDefault="00800B42">
      <w:pPr>
        <w:pStyle w:val="FootnoteText"/>
        <w:rPr>
          <w:lang w:val="ro-RO"/>
        </w:rPr>
      </w:pPr>
      <w:r>
        <w:rPr>
          <w:rStyle w:val="FootnoteReference"/>
        </w:rPr>
        <w:footnoteRef/>
      </w:r>
      <w:r>
        <w:t xml:space="preserve"> </w:t>
      </w:r>
      <w:r w:rsidR="003C2CBD" w:rsidRPr="003C2CBD">
        <w:rPr>
          <w:rFonts w:eastAsia="Times New Roman" w:cs="Calibri"/>
          <w:sz w:val="16"/>
          <w:szCs w:val="16"/>
          <w:lang w:val="ro-RO"/>
        </w:rPr>
        <w:t>Ordonanț</w:t>
      </w:r>
      <w:r w:rsidR="003C2CBD">
        <w:rPr>
          <w:rFonts w:eastAsia="Times New Roman" w:cs="Calibri"/>
          <w:sz w:val="16"/>
          <w:szCs w:val="16"/>
          <w:lang w:val="ro-RO"/>
        </w:rPr>
        <w:t>a</w:t>
      </w:r>
      <w:r w:rsidR="003C2CBD" w:rsidRPr="003C2CBD">
        <w:rPr>
          <w:rFonts w:eastAsia="Times New Roman" w:cs="Calibri"/>
          <w:sz w:val="16"/>
          <w:szCs w:val="16"/>
          <w:lang w:val="ro-RO"/>
        </w:rPr>
        <w:t xml:space="preserve"> de urgență nr. 40/2015 privind gestionarea financiară a fondurilor europene pentru perioada de programare 2014-2020, cu modificările și completările ulterioare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Ind w:w="2" w:type="dxa"/>
      <w:tblCellMar>
        <w:left w:w="0" w:type="dxa"/>
        <w:right w:w="0" w:type="dxa"/>
      </w:tblCellMar>
      <w:tblLook w:val="00A0" w:firstRow="1" w:lastRow="0" w:firstColumn="1" w:lastColumn="0" w:noHBand="0" w:noVBand="0"/>
    </w:tblPr>
    <w:tblGrid>
      <w:gridCol w:w="5311"/>
      <w:gridCol w:w="3903"/>
    </w:tblGrid>
    <w:tr w:rsidR="00CC7455" w14:paraId="068C1139" w14:textId="77777777">
      <w:tc>
        <w:tcPr>
          <w:tcW w:w="5311" w:type="dxa"/>
        </w:tcPr>
        <w:p w14:paraId="0DAEAD99" w14:textId="77777777" w:rsidR="00CC7455" w:rsidRPr="00CD5B3B" w:rsidRDefault="00CC7455" w:rsidP="00E562FC">
          <w:pPr>
            <w:pStyle w:val="MediumGrid21"/>
            <w:rPr>
              <w:rFonts w:cs="Times New Roman"/>
            </w:rPr>
          </w:pPr>
        </w:p>
      </w:tc>
      <w:tc>
        <w:tcPr>
          <w:tcW w:w="3903" w:type="dxa"/>
          <w:vAlign w:val="center"/>
        </w:tcPr>
        <w:p w14:paraId="014671E5" w14:textId="77777777" w:rsidR="00CC7455" w:rsidRDefault="00CC7455" w:rsidP="00C20EF1">
          <w:pPr>
            <w:pStyle w:val="MediumGrid21"/>
            <w:jc w:val="right"/>
            <w:rPr>
              <w:rFonts w:cs="Times New Roman"/>
            </w:rPr>
          </w:pPr>
        </w:p>
      </w:tc>
    </w:tr>
  </w:tbl>
  <w:p w14:paraId="467D5F92" w14:textId="77777777" w:rsidR="00CC7455" w:rsidRPr="00CD5B3B" w:rsidRDefault="00CC7455" w:rsidP="00AB37A7">
    <w:pPr>
      <w:pStyle w:val="Header"/>
      <w:ind w:left="1418"/>
      <w:rPr>
        <w:rFonts w:cs="Times New Roman"/>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7" w:type="dxa"/>
      <w:tblInd w:w="-284" w:type="dxa"/>
      <w:tblCellMar>
        <w:left w:w="0" w:type="dxa"/>
        <w:right w:w="0" w:type="dxa"/>
      </w:tblCellMar>
      <w:tblLook w:val="00A0" w:firstRow="1" w:lastRow="0" w:firstColumn="1" w:lastColumn="0" w:noHBand="0" w:noVBand="0"/>
    </w:tblPr>
    <w:tblGrid>
      <w:gridCol w:w="10544"/>
      <w:gridCol w:w="513"/>
    </w:tblGrid>
    <w:tr w:rsidR="00CC7455" w14:paraId="09A88839" w14:textId="77777777" w:rsidTr="0014797E">
      <w:tc>
        <w:tcPr>
          <w:tcW w:w="9360" w:type="dxa"/>
        </w:tcPr>
        <w:p w14:paraId="0367AD06" w14:textId="77777777" w:rsidR="00CC7455" w:rsidRPr="00CD5B3B" w:rsidRDefault="0014797E" w:rsidP="0014797E">
          <w:pPr>
            <w:pStyle w:val="MediumGrid21"/>
            <w:ind w:left="284" w:firstLine="900"/>
            <w:jc w:val="center"/>
            <w:rPr>
              <w:rFonts w:cs="Times New Roman"/>
            </w:rPr>
          </w:pPr>
          <w:r w:rsidRPr="00D46F53">
            <w:rPr>
              <w:noProof/>
              <w:lang w:val="ro-RO" w:eastAsia="ro-RO"/>
            </w:rPr>
            <w:drawing>
              <wp:inline distT="0" distB="0" distL="0" distR="0" wp14:anchorId="6238FFDA" wp14:editId="3FBC4435">
                <wp:extent cx="5943600" cy="862330"/>
                <wp:effectExtent l="0" t="0" r="0" b="0"/>
                <wp:docPr id="5" name="Picture 5" descr="http://mfe.gov.ro/wp-content/uploads/2019/07/8b89d2db9fa7a9535d11c15149a0bc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fe.gov.ro/wp-content/uploads/2019/07/8b89d2db9fa7a9535d11c15149a0bc75.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862330"/>
                        </a:xfrm>
                        <a:prstGeom prst="rect">
                          <a:avLst/>
                        </a:prstGeom>
                        <a:noFill/>
                        <a:ln>
                          <a:noFill/>
                        </a:ln>
                      </pic:spPr>
                    </pic:pic>
                  </a:graphicData>
                </a:graphic>
              </wp:inline>
            </w:drawing>
          </w:r>
        </w:p>
      </w:tc>
      <w:tc>
        <w:tcPr>
          <w:tcW w:w="1697" w:type="dxa"/>
          <w:vAlign w:val="center"/>
        </w:tcPr>
        <w:p w14:paraId="3B6560AC" w14:textId="77777777" w:rsidR="00CC7455" w:rsidRDefault="00CC7455" w:rsidP="00E562FC">
          <w:pPr>
            <w:pStyle w:val="MediumGrid21"/>
            <w:jc w:val="right"/>
            <w:rPr>
              <w:rFonts w:cs="Times New Roman"/>
            </w:rPr>
          </w:pPr>
        </w:p>
        <w:p w14:paraId="3B3A87BE" w14:textId="77777777" w:rsidR="00CC7455" w:rsidRDefault="00CC7455" w:rsidP="00E562FC">
          <w:pPr>
            <w:pStyle w:val="MediumGrid21"/>
            <w:jc w:val="right"/>
            <w:rPr>
              <w:rFonts w:cs="Times New Roman"/>
            </w:rPr>
          </w:pPr>
        </w:p>
        <w:p w14:paraId="4F765505" w14:textId="77777777" w:rsidR="00CC7455" w:rsidRDefault="00CC7455" w:rsidP="00E562FC">
          <w:pPr>
            <w:pStyle w:val="MediumGrid21"/>
            <w:jc w:val="right"/>
            <w:rPr>
              <w:rFonts w:cs="Times New Roman"/>
            </w:rPr>
          </w:pPr>
        </w:p>
      </w:tc>
    </w:tr>
  </w:tbl>
  <w:p w14:paraId="217E994C" w14:textId="77777777" w:rsidR="00CC7455" w:rsidRPr="00184F21" w:rsidRDefault="00CC7455" w:rsidP="00B06856">
    <w:pPr>
      <w:pStyle w:val="Footer"/>
      <w:spacing w:after="0" w:line="240" w:lineRule="auto"/>
      <w:jc w:val="right"/>
      <w:rPr>
        <w:rFonts w:ascii="Trebuchet MS" w:hAnsi="Trebuchet MS" w:cs="Trebuchet MS"/>
        <w:sz w:val="22"/>
        <w:szCs w:val="22"/>
      </w:rPr>
    </w:pPr>
    <w:r w:rsidRPr="00E25569">
      <w:rPr>
        <w:rFonts w:ascii="Trebuchet MS" w:hAnsi="Trebuchet MS" w:cs="Trebuchet MS"/>
        <w:sz w:val="22"/>
        <w:szCs w:val="22"/>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05878"/>
    <w:multiLevelType w:val="hybridMultilevel"/>
    <w:tmpl w:val="71F08D98"/>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2DC"/>
    <w:rsid w:val="00001678"/>
    <w:rsid w:val="00002A4D"/>
    <w:rsid w:val="000078AA"/>
    <w:rsid w:val="00010049"/>
    <w:rsid w:val="00014D59"/>
    <w:rsid w:val="00014E8A"/>
    <w:rsid w:val="00015CC3"/>
    <w:rsid w:val="00020B19"/>
    <w:rsid w:val="00023650"/>
    <w:rsid w:val="000252A7"/>
    <w:rsid w:val="0002767B"/>
    <w:rsid w:val="000355C6"/>
    <w:rsid w:val="00044B97"/>
    <w:rsid w:val="00044E03"/>
    <w:rsid w:val="000516F9"/>
    <w:rsid w:val="000539AC"/>
    <w:rsid w:val="0005592D"/>
    <w:rsid w:val="0005755F"/>
    <w:rsid w:val="0006498B"/>
    <w:rsid w:val="0006793B"/>
    <w:rsid w:val="000747F4"/>
    <w:rsid w:val="0007568D"/>
    <w:rsid w:val="00081B89"/>
    <w:rsid w:val="0008706D"/>
    <w:rsid w:val="00092E7F"/>
    <w:rsid w:val="000A364C"/>
    <w:rsid w:val="000A51B9"/>
    <w:rsid w:val="000A53A4"/>
    <w:rsid w:val="000B322B"/>
    <w:rsid w:val="000B7B8C"/>
    <w:rsid w:val="000C09C1"/>
    <w:rsid w:val="000C161F"/>
    <w:rsid w:val="000C5093"/>
    <w:rsid w:val="000C5892"/>
    <w:rsid w:val="000C64D9"/>
    <w:rsid w:val="000D2033"/>
    <w:rsid w:val="000D3493"/>
    <w:rsid w:val="000D557E"/>
    <w:rsid w:val="000D5FAF"/>
    <w:rsid w:val="000D6A2C"/>
    <w:rsid w:val="000E4B0D"/>
    <w:rsid w:val="000E57C9"/>
    <w:rsid w:val="000E59B1"/>
    <w:rsid w:val="000E72D9"/>
    <w:rsid w:val="000E7F18"/>
    <w:rsid w:val="00100F36"/>
    <w:rsid w:val="00102D95"/>
    <w:rsid w:val="00113D5F"/>
    <w:rsid w:val="00114C58"/>
    <w:rsid w:val="0011510E"/>
    <w:rsid w:val="00115577"/>
    <w:rsid w:val="001155C3"/>
    <w:rsid w:val="00115EBA"/>
    <w:rsid w:val="00120710"/>
    <w:rsid w:val="001249EF"/>
    <w:rsid w:val="00126360"/>
    <w:rsid w:val="001266CD"/>
    <w:rsid w:val="00126DB0"/>
    <w:rsid w:val="00130A40"/>
    <w:rsid w:val="00133471"/>
    <w:rsid w:val="00136EE9"/>
    <w:rsid w:val="00140272"/>
    <w:rsid w:val="00141130"/>
    <w:rsid w:val="0014465F"/>
    <w:rsid w:val="00146521"/>
    <w:rsid w:val="0014797E"/>
    <w:rsid w:val="00150222"/>
    <w:rsid w:val="00155C94"/>
    <w:rsid w:val="001622D9"/>
    <w:rsid w:val="00165A80"/>
    <w:rsid w:val="0017029D"/>
    <w:rsid w:val="00170FC4"/>
    <w:rsid w:val="00177A02"/>
    <w:rsid w:val="00182562"/>
    <w:rsid w:val="00183652"/>
    <w:rsid w:val="0018390B"/>
    <w:rsid w:val="00184F21"/>
    <w:rsid w:val="0018510D"/>
    <w:rsid w:val="00192843"/>
    <w:rsid w:val="00195947"/>
    <w:rsid w:val="0019606A"/>
    <w:rsid w:val="001A0CF1"/>
    <w:rsid w:val="001A3580"/>
    <w:rsid w:val="001A63AF"/>
    <w:rsid w:val="001B46F8"/>
    <w:rsid w:val="001C05C1"/>
    <w:rsid w:val="001C06C1"/>
    <w:rsid w:val="001C07B0"/>
    <w:rsid w:val="001C4BC1"/>
    <w:rsid w:val="001C4D41"/>
    <w:rsid w:val="001C5267"/>
    <w:rsid w:val="001C7590"/>
    <w:rsid w:val="001C778B"/>
    <w:rsid w:val="001D4E25"/>
    <w:rsid w:val="001E4E12"/>
    <w:rsid w:val="001E6A04"/>
    <w:rsid w:val="001F02D7"/>
    <w:rsid w:val="001F189B"/>
    <w:rsid w:val="001F3C89"/>
    <w:rsid w:val="001F5330"/>
    <w:rsid w:val="001F6091"/>
    <w:rsid w:val="00201E84"/>
    <w:rsid w:val="00202534"/>
    <w:rsid w:val="00207EC0"/>
    <w:rsid w:val="00214275"/>
    <w:rsid w:val="00223989"/>
    <w:rsid w:val="00224B66"/>
    <w:rsid w:val="00225AF7"/>
    <w:rsid w:val="002272B6"/>
    <w:rsid w:val="00234B53"/>
    <w:rsid w:val="00236440"/>
    <w:rsid w:val="00236EBB"/>
    <w:rsid w:val="00236EF0"/>
    <w:rsid w:val="002402CF"/>
    <w:rsid w:val="00250123"/>
    <w:rsid w:val="0025098E"/>
    <w:rsid w:val="0025448D"/>
    <w:rsid w:val="00261671"/>
    <w:rsid w:val="002622C6"/>
    <w:rsid w:val="00263E42"/>
    <w:rsid w:val="002668FE"/>
    <w:rsid w:val="00266B06"/>
    <w:rsid w:val="0026705E"/>
    <w:rsid w:val="00272040"/>
    <w:rsid w:val="00277CA3"/>
    <w:rsid w:val="0028075B"/>
    <w:rsid w:val="00281B14"/>
    <w:rsid w:val="00285536"/>
    <w:rsid w:val="00285F24"/>
    <w:rsid w:val="00296667"/>
    <w:rsid w:val="00297241"/>
    <w:rsid w:val="002A2E7C"/>
    <w:rsid w:val="002A34DC"/>
    <w:rsid w:val="002A52F0"/>
    <w:rsid w:val="002A5742"/>
    <w:rsid w:val="002B21CC"/>
    <w:rsid w:val="002B395A"/>
    <w:rsid w:val="002C0D69"/>
    <w:rsid w:val="002C1679"/>
    <w:rsid w:val="002C53B7"/>
    <w:rsid w:val="002C60E0"/>
    <w:rsid w:val="002D1B2C"/>
    <w:rsid w:val="002D69E9"/>
    <w:rsid w:val="002D7E42"/>
    <w:rsid w:val="002E2D1B"/>
    <w:rsid w:val="002E385C"/>
    <w:rsid w:val="002F1C17"/>
    <w:rsid w:val="002F22B1"/>
    <w:rsid w:val="002F4C4E"/>
    <w:rsid w:val="00306B30"/>
    <w:rsid w:val="00306B8C"/>
    <w:rsid w:val="003101D5"/>
    <w:rsid w:val="00310B7E"/>
    <w:rsid w:val="00312C23"/>
    <w:rsid w:val="00316217"/>
    <w:rsid w:val="00321180"/>
    <w:rsid w:val="00321F65"/>
    <w:rsid w:val="00323B12"/>
    <w:rsid w:val="00323D5E"/>
    <w:rsid w:val="0033286C"/>
    <w:rsid w:val="00333344"/>
    <w:rsid w:val="00333889"/>
    <w:rsid w:val="00333A30"/>
    <w:rsid w:val="00335034"/>
    <w:rsid w:val="003411A0"/>
    <w:rsid w:val="00364BDB"/>
    <w:rsid w:val="003703A3"/>
    <w:rsid w:val="00376E97"/>
    <w:rsid w:val="003806D4"/>
    <w:rsid w:val="003809F2"/>
    <w:rsid w:val="00380C95"/>
    <w:rsid w:val="00385314"/>
    <w:rsid w:val="00394DCD"/>
    <w:rsid w:val="00395B7B"/>
    <w:rsid w:val="00396833"/>
    <w:rsid w:val="00397FCF"/>
    <w:rsid w:val="003A2158"/>
    <w:rsid w:val="003A22C5"/>
    <w:rsid w:val="003A4932"/>
    <w:rsid w:val="003A4AA9"/>
    <w:rsid w:val="003B0D09"/>
    <w:rsid w:val="003B44A1"/>
    <w:rsid w:val="003C1197"/>
    <w:rsid w:val="003C2CBD"/>
    <w:rsid w:val="003C40AC"/>
    <w:rsid w:val="003C6367"/>
    <w:rsid w:val="003D5B9E"/>
    <w:rsid w:val="003D74CA"/>
    <w:rsid w:val="003E3643"/>
    <w:rsid w:val="003E5A35"/>
    <w:rsid w:val="003F02CA"/>
    <w:rsid w:val="003F51E1"/>
    <w:rsid w:val="003F7698"/>
    <w:rsid w:val="004006A6"/>
    <w:rsid w:val="004020D1"/>
    <w:rsid w:val="00404503"/>
    <w:rsid w:val="0040712D"/>
    <w:rsid w:val="00407672"/>
    <w:rsid w:val="00412CE4"/>
    <w:rsid w:val="0041337D"/>
    <w:rsid w:val="004154D3"/>
    <w:rsid w:val="00421E7F"/>
    <w:rsid w:val="004223DA"/>
    <w:rsid w:val="00423A12"/>
    <w:rsid w:val="004272C0"/>
    <w:rsid w:val="004301B7"/>
    <w:rsid w:val="00436297"/>
    <w:rsid w:val="00437043"/>
    <w:rsid w:val="00437E92"/>
    <w:rsid w:val="00440F74"/>
    <w:rsid w:val="00447193"/>
    <w:rsid w:val="0044780D"/>
    <w:rsid w:val="00452C84"/>
    <w:rsid w:val="004536FD"/>
    <w:rsid w:val="00455207"/>
    <w:rsid w:val="0046072C"/>
    <w:rsid w:val="00461EA6"/>
    <w:rsid w:val="00465E0E"/>
    <w:rsid w:val="0046628C"/>
    <w:rsid w:val="00467384"/>
    <w:rsid w:val="00476FCF"/>
    <w:rsid w:val="00477DFC"/>
    <w:rsid w:val="00481318"/>
    <w:rsid w:val="004829D2"/>
    <w:rsid w:val="0048306F"/>
    <w:rsid w:val="004849D1"/>
    <w:rsid w:val="0048574D"/>
    <w:rsid w:val="004933AF"/>
    <w:rsid w:val="00493AD5"/>
    <w:rsid w:val="00495C3B"/>
    <w:rsid w:val="004A2C6A"/>
    <w:rsid w:val="004B0FCA"/>
    <w:rsid w:val="004B1B6E"/>
    <w:rsid w:val="004B3A56"/>
    <w:rsid w:val="004B6819"/>
    <w:rsid w:val="004B7BC7"/>
    <w:rsid w:val="004C37EB"/>
    <w:rsid w:val="004C4BD1"/>
    <w:rsid w:val="004D1214"/>
    <w:rsid w:val="004D160A"/>
    <w:rsid w:val="004D50C9"/>
    <w:rsid w:val="004D5D5E"/>
    <w:rsid w:val="004E1E90"/>
    <w:rsid w:val="004E3857"/>
    <w:rsid w:val="004F0EDF"/>
    <w:rsid w:val="004F22E8"/>
    <w:rsid w:val="005008EA"/>
    <w:rsid w:val="0050181F"/>
    <w:rsid w:val="00502D8A"/>
    <w:rsid w:val="00503B47"/>
    <w:rsid w:val="005055C4"/>
    <w:rsid w:val="00505E26"/>
    <w:rsid w:val="00512588"/>
    <w:rsid w:val="005142A1"/>
    <w:rsid w:val="00524FEA"/>
    <w:rsid w:val="00526A9C"/>
    <w:rsid w:val="00526EE6"/>
    <w:rsid w:val="00533D7F"/>
    <w:rsid w:val="00534FD9"/>
    <w:rsid w:val="0053609A"/>
    <w:rsid w:val="00537A59"/>
    <w:rsid w:val="00540B7E"/>
    <w:rsid w:val="0054146B"/>
    <w:rsid w:val="00541ACC"/>
    <w:rsid w:val="00542C56"/>
    <w:rsid w:val="0054648F"/>
    <w:rsid w:val="00552D83"/>
    <w:rsid w:val="00554840"/>
    <w:rsid w:val="00555E5C"/>
    <w:rsid w:val="0055746A"/>
    <w:rsid w:val="00560C88"/>
    <w:rsid w:val="00562B8D"/>
    <w:rsid w:val="005666FA"/>
    <w:rsid w:val="005713BB"/>
    <w:rsid w:val="00574942"/>
    <w:rsid w:val="00575227"/>
    <w:rsid w:val="0058302C"/>
    <w:rsid w:val="0058570B"/>
    <w:rsid w:val="00586292"/>
    <w:rsid w:val="00590E89"/>
    <w:rsid w:val="005928B9"/>
    <w:rsid w:val="00594E00"/>
    <w:rsid w:val="005A11C9"/>
    <w:rsid w:val="005A2A5C"/>
    <w:rsid w:val="005A6A6E"/>
    <w:rsid w:val="005B0D28"/>
    <w:rsid w:val="005B1E55"/>
    <w:rsid w:val="005B1EAA"/>
    <w:rsid w:val="005B5EAC"/>
    <w:rsid w:val="005B7560"/>
    <w:rsid w:val="005B7A1F"/>
    <w:rsid w:val="005C0547"/>
    <w:rsid w:val="005C12ED"/>
    <w:rsid w:val="005C2D3D"/>
    <w:rsid w:val="005C6D8A"/>
    <w:rsid w:val="005D6E26"/>
    <w:rsid w:val="005E0B3B"/>
    <w:rsid w:val="005E2479"/>
    <w:rsid w:val="005E4052"/>
    <w:rsid w:val="005E6FFA"/>
    <w:rsid w:val="005F1A96"/>
    <w:rsid w:val="005F33D4"/>
    <w:rsid w:val="005F6A36"/>
    <w:rsid w:val="00603765"/>
    <w:rsid w:val="00603B42"/>
    <w:rsid w:val="00612E82"/>
    <w:rsid w:val="00615AA7"/>
    <w:rsid w:val="006228D3"/>
    <w:rsid w:val="00626D74"/>
    <w:rsid w:val="006279FD"/>
    <w:rsid w:val="00632D0D"/>
    <w:rsid w:val="00634C88"/>
    <w:rsid w:val="00634E55"/>
    <w:rsid w:val="00635EB3"/>
    <w:rsid w:val="00642696"/>
    <w:rsid w:val="00647C3B"/>
    <w:rsid w:val="00653423"/>
    <w:rsid w:val="0065530C"/>
    <w:rsid w:val="00655B28"/>
    <w:rsid w:val="00655D01"/>
    <w:rsid w:val="0066233E"/>
    <w:rsid w:val="0066567F"/>
    <w:rsid w:val="006663E7"/>
    <w:rsid w:val="00667B6B"/>
    <w:rsid w:val="00667B7F"/>
    <w:rsid w:val="0067086E"/>
    <w:rsid w:val="0067152A"/>
    <w:rsid w:val="00672A00"/>
    <w:rsid w:val="006809CA"/>
    <w:rsid w:val="00684B43"/>
    <w:rsid w:val="00684B84"/>
    <w:rsid w:val="00685142"/>
    <w:rsid w:val="00685D8F"/>
    <w:rsid w:val="00687998"/>
    <w:rsid w:val="00691460"/>
    <w:rsid w:val="00693F0B"/>
    <w:rsid w:val="00693F40"/>
    <w:rsid w:val="00695CEB"/>
    <w:rsid w:val="006A2ABB"/>
    <w:rsid w:val="006A6105"/>
    <w:rsid w:val="006A6B45"/>
    <w:rsid w:val="006A76DF"/>
    <w:rsid w:val="006B0E10"/>
    <w:rsid w:val="006C2490"/>
    <w:rsid w:val="006C4A54"/>
    <w:rsid w:val="006C5E9A"/>
    <w:rsid w:val="006D1477"/>
    <w:rsid w:val="006D5338"/>
    <w:rsid w:val="006E15EC"/>
    <w:rsid w:val="006F10A9"/>
    <w:rsid w:val="006F16A2"/>
    <w:rsid w:val="006F5533"/>
    <w:rsid w:val="0070528B"/>
    <w:rsid w:val="007056C0"/>
    <w:rsid w:val="0070593B"/>
    <w:rsid w:val="0071213A"/>
    <w:rsid w:val="00717A10"/>
    <w:rsid w:val="00722BEC"/>
    <w:rsid w:val="00723FC7"/>
    <w:rsid w:val="00733D51"/>
    <w:rsid w:val="00737367"/>
    <w:rsid w:val="007419DD"/>
    <w:rsid w:val="007462FA"/>
    <w:rsid w:val="007520B5"/>
    <w:rsid w:val="00752877"/>
    <w:rsid w:val="00752FBB"/>
    <w:rsid w:val="007545C1"/>
    <w:rsid w:val="00755D72"/>
    <w:rsid w:val="00761770"/>
    <w:rsid w:val="00761B4D"/>
    <w:rsid w:val="00763E30"/>
    <w:rsid w:val="00765CC7"/>
    <w:rsid w:val="00766E0E"/>
    <w:rsid w:val="00767E15"/>
    <w:rsid w:val="00776F6E"/>
    <w:rsid w:val="007845BD"/>
    <w:rsid w:val="0078718B"/>
    <w:rsid w:val="007874B8"/>
    <w:rsid w:val="007916E2"/>
    <w:rsid w:val="00794D14"/>
    <w:rsid w:val="00796E22"/>
    <w:rsid w:val="00797696"/>
    <w:rsid w:val="007A030C"/>
    <w:rsid w:val="007A5798"/>
    <w:rsid w:val="007A7E74"/>
    <w:rsid w:val="007B37DC"/>
    <w:rsid w:val="007B3F9B"/>
    <w:rsid w:val="007B4F95"/>
    <w:rsid w:val="007C0CE5"/>
    <w:rsid w:val="007C13D9"/>
    <w:rsid w:val="007C3764"/>
    <w:rsid w:val="007C44BB"/>
    <w:rsid w:val="007D0BF9"/>
    <w:rsid w:val="007D0E9D"/>
    <w:rsid w:val="007D3BB6"/>
    <w:rsid w:val="007D6038"/>
    <w:rsid w:val="007E06B2"/>
    <w:rsid w:val="007E0DA2"/>
    <w:rsid w:val="007E209D"/>
    <w:rsid w:val="007E3C95"/>
    <w:rsid w:val="007E4BB5"/>
    <w:rsid w:val="007E7259"/>
    <w:rsid w:val="007F4724"/>
    <w:rsid w:val="007F5647"/>
    <w:rsid w:val="007F5C2F"/>
    <w:rsid w:val="007F78EF"/>
    <w:rsid w:val="00800B42"/>
    <w:rsid w:val="00800E28"/>
    <w:rsid w:val="00801451"/>
    <w:rsid w:val="00804E0C"/>
    <w:rsid w:val="008058E0"/>
    <w:rsid w:val="008120BF"/>
    <w:rsid w:val="0081331D"/>
    <w:rsid w:val="00813EA5"/>
    <w:rsid w:val="00816042"/>
    <w:rsid w:val="00817040"/>
    <w:rsid w:val="00824888"/>
    <w:rsid w:val="00827F53"/>
    <w:rsid w:val="00830A05"/>
    <w:rsid w:val="00833B11"/>
    <w:rsid w:val="00835032"/>
    <w:rsid w:val="008409C9"/>
    <w:rsid w:val="00840FDB"/>
    <w:rsid w:val="008437A1"/>
    <w:rsid w:val="008441A3"/>
    <w:rsid w:val="00845B4E"/>
    <w:rsid w:val="0084721F"/>
    <w:rsid w:val="008514AB"/>
    <w:rsid w:val="008562D8"/>
    <w:rsid w:val="00857C31"/>
    <w:rsid w:val="00860635"/>
    <w:rsid w:val="008613A6"/>
    <w:rsid w:val="008622FF"/>
    <w:rsid w:val="00864640"/>
    <w:rsid w:val="00864E88"/>
    <w:rsid w:val="00871780"/>
    <w:rsid w:val="00875402"/>
    <w:rsid w:val="00876140"/>
    <w:rsid w:val="00876F44"/>
    <w:rsid w:val="00883B5F"/>
    <w:rsid w:val="0088686A"/>
    <w:rsid w:val="00893362"/>
    <w:rsid w:val="00894C98"/>
    <w:rsid w:val="008A2AC0"/>
    <w:rsid w:val="008A3106"/>
    <w:rsid w:val="008A5FDD"/>
    <w:rsid w:val="008A61CF"/>
    <w:rsid w:val="008B0B8F"/>
    <w:rsid w:val="008B1672"/>
    <w:rsid w:val="008B38C4"/>
    <w:rsid w:val="008B573F"/>
    <w:rsid w:val="008B5EF9"/>
    <w:rsid w:val="008C0498"/>
    <w:rsid w:val="008C2ABF"/>
    <w:rsid w:val="008C5191"/>
    <w:rsid w:val="008C761C"/>
    <w:rsid w:val="008D23AD"/>
    <w:rsid w:val="008D2466"/>
    <w:rsid w:val="008D5357"/>
    <w:rsid w:val="008E035E"/>
    <w:rsid w:val="008E4536"/>
    <w:rsid w:val="008E609E"/>
    <w:rsid w:val="008E64FE"/>
    <w:rsid w:val="008F11A2"/>
    <w:rsid w:val="008F2658"/>
    <w:rsid w:val="008F33A4"/>
    <w:rsid w:val="008F763D"/>
    <w:rsid w:val="00903804"/>
    <w:rsid w:val="00906824"/>
    <w:rsid w:val="0090705B"/>
    <w:rsid w:val="00910A7A"/>
    <w:rsid w:val="00911000"/>
    <w:rsid w:val="00911C3E"/>
    <w:rsid w:val="00911EB2"/>
    <w:rsid w:val="00913E62"/>
    <w:rsid w:val="00913F7F"/>
    <w:rsid w:val="0091410C"/>
    <w:rsid w:val="00915D59"/>
    <w:rsid w:val="00922C54"/>
    <w:rsid w:val="009247D7"/>
    <w:rsid w:val="00925309"/>
    <w:rsid w:val="009256CE"/>
    <w:rsid w:val="009258CA"/>
    <w:rsid w:val="00927C88"/>
    <w:rsid w:val="00931FF8"/>
    <w:rsid w:val="0093219B"/>
    <w:rsid w:val="009370C3"/>
    <w:rsid w:val="00950F9D"/>
    <w:rsid w:val="00954161"/>
    <w:rsid w:val="00961C3D"/>
    <w:rsid w:val="00962FCA"/>
    <w:rsid w:val="00970933"/>
    <w:rsid w:val="00970C42"/>
    <w:rsid w:val="009722C8"/>
    <w:rsid w:val="00972755"/>
    <w:rsid w:val="00972D57"/>
    <w:rsid w:val="00973751"/>
    <w:rsid w:val="00976B9A"/>
    <w:rsid w:val="00977612"/>
    <w:rsid w:val="009818EE"/>
    <w:rsid w:val="00984DE5"/>
    <w:rsid w:val="00986EDF"/>
    <w:rsid w:val="00987492"/>
    <w:rsid w:val="009902B6"/>
    <w:rsid w:val="00990803"/>
    <w:rsid w:val="00993589"/>
    <w:rsid w:val="009A02EF"/>
    <w:rsid w:val="009A1126"/>
    <w:rsid w:val="009A358A"/>
    <w:rsid w:val="009A3723"/>
    <w:rsid w:val="009A48F6"/>
    <w:rsid w:val="009B102F"/>
    <w:rsid w:val="009B199E"/>
    <w:rsid w:val="009B2EC4"/>
    <w:rsid w:val="009C17F2"/>
    <w:rsid w:val="009C3091"/>
    <w:rsid w:val="009C4FDD"/>
    <w:rsid w:val="009C56CF"/>
    <w:rsid w:val="009D33EC"/>
    <w:rsid w:val="009D5A5E"/>
    <w:rsid w:val="009D6167"/>
    <w:rsid w:val="009D6918"/>
    <w:rsid w:val="009D7BBC"/>
    <w:rsid w:val="009E4728"/>
    <w:rsid w:val="009E4F9B"/>
    <w:rsid w:val="009F0723"/>
    <w:rsid w:val="009F4259"/>
    <w:rsid w:val="009F4FAC"/>
    <w:rsid w:val="009F5344"/>
    <w:rsid w:val="009F6613"/>
    <w:rsid w:val="00A00FB5"/>
    <w:rsid w:val="00A05693"/>
    <w:rsid w:val="00A05B7F"/>
    <w:rsid w:val="00A06374"/>
    <w:rsid w:val="00A17CBD"/>
    <w:rsid w:val="00A22632"/>
    <w:rsid w:val="00A2602C"/>
    <w:rsid w:val="00A276E8"/>
    <w:rsid w:val="00A30CEA"/>
    <w:rsid w:val="00A32D20"/>
    <w:rsid w:val="00A32D9D"/>
    <w:rsid w:val="00A378C5"/>
    <w:rsid w:val="00A45148"/>
    <w:rsid w:val="00A4744E"/>
    <w:rsid w:val="00A516E5"/>
    <w:rsid w:val="00A5178E"/>
    <w:rsid w:val="00A52577"/>
    <w:rsid w:val="00A52D56"/>
    <w:rsid w:val="00A61F72"/>
    <w:rsid w:val="00A64E50"/>
    <w:rsid w:val="00A66934"/>
    <w:rsid w:val="00A702C8"/>
    <w:rsid w:val="00A744DA"/>
    <w:rsid w:val="00A82EA4"/>
    <w:rsid w:val="00A842D7"/>
    <w:rsid w:val="00A84C99"/>
    <w:rsid w:val="00A905E2"/>
    <w:rsid w:val="00A920C5"/>
    <w:rsid w:val="00A95F4D"/>
    <w:rsid w:val="00AA1947"/>
    <w:rsid w:val="00AB216A"/>
    <w:rsid w:val="00AB2DAC"/>
    <w:rsid w:val="00AB37A7"/>
    <w:rsid w:val="00AB3F35"/>
    <w:rsid w:val="00AB67D7"/>
    <w:rsid w:val="00AB7402"/>
    <w:rsid w:val="00AB7E99"/>
    <w:rsid w:val="00AC1639"/>
    <w:rsid w:val="00AC478A"/>
    <w:rsid w:val="00AC4F19"/>
    <w:rsid w:val="00AC7DBB"/>
    <w:rsid w:val="00AD09DF"/>
    <w:rsid w:val="00AD329A"/>
    <w:rsid w:val="00AD3928"/>
    <w:rsid w:val="00AD49B3"/>
    <w:rsid w:val="00AD5B88"/>
    <w:rsid w:val="00AD7C62"/>
    <w:rsid w:val="00AE1066"/>
    <w:rsid w:val="00AE19FC"/>
    <w:rsid w:val="00AE26B4"/>
    <w:rsid w:val="00AE3456"/>
    <w:rsid w:val="00AE4157"/>
    <w:rsid w:val="00AE4F43"/>
    <w:rsid w:val="00AE6E2A"/>
    <w:rsid w:val="00AE7065"/>
    <w:rsid w:val="00AF04FF"/>
    <w:rsid w:val="00AF12A0"/>
    <w:rsid w:val="00AF1D8C"/>
    <w:rsid w:val="00AF4842"/>
    <w:rsid w:val="00AF5DF9"/>
    <w:rsid w:val="00B0603D"/>
    <w:rsid w:val="00B06856"/>
    <w:rsid w:val="00B108DF"/>
    <w:rsid w:val="00B128EB"/>
    <w:rsid w:val="00B13BB4"/>
    <w:rsid w:val="00B25A81"/>
    <w:rsid w:val="00B32774"/>
    <w:rsid w:val="00B327FD"/>
    <w:rsid w:val="00B33B00"/>
    <w:rsid w:val="00B33D7E"/>
    <w:rsid w:val="00B35286"/>
    <w:rsid w:val="00B417DC"/>
    <w:rsid w:val="00B53DE6"/>
    <w:rsid w:val="00B54DF4"/>
    <w:rsid w:val="00B5530C"/>
    <w:rsid w:val="00B6368C"/>
    <w:rsid w:val="00B649DD"/>
    <w:rsid w:val="00B65A94"/>
    <w:rsid w:val="00B66056"/>
    <w:rsid w:val="00B678C6"/>
    <w:rsid w:val="00B73DAC"/>
    <w:rsid w:val="00B73F5D"/>
    <w:rsid w:val="00B747DC"/>
    <w:rsid w:val="00B75107"/>
    <w:rsid w:val="00B7578B"/>
    <w:rsid w:val="00B75BA9"/>
    <w:rsid w:val="00B8322F"/>
    <w:rsid w:val="00B85F7C"/>
    <w:rsid w:val="00B94783"/>
    <w:rsid w:val="00B96628"/>
    <w:rsid w:val="00BA53AE"/>
    <w:rsid w:val="00BA55C8"/>
    <w:rsid w:val="00BA57F1"/>
    <w:rsid w:val="00BB0022"/>
    <w:rsid w:val="00BB310E"/>
    <w:rsid w:val="00BB6205"/>
    <w:rsid w:val="00BB67AF"/>
    <w:rsid w:val="00BC1576"/>
    <w:rsid w:val="00BC37B8"/>
    <w:rsid w:val="00BD5885"/>
    <w:rsid w:val="00BD6D7A"/>
    <w:rsid w:val="00BE121B"/>
    <w:rsid w:val="00BE1B53"/>
    <w:rsid w:val="00BE4320"/>
    <w:rsid w:val="00BF23E1"/>
    <w:rsid w:val="00BF4BAB"/>
    <w:rsid w:val="00BF6E8A"/>
    <w:rsid w:val="00BF73C4"/>
    <w:rsid w:val="00C00480"/>
    <w:rsid w:val="00C00536"/>
    <w:rsid w:val="00C028AC"/>
    <w:rsid w:val="00C0476D"/>
    <w:rsid w:val="00C051C3"/>
    <w:rsid w:val="00C05F49"/>
    <w:rsid w:val="00C0648F"/>
    <w:rsid w:val="00C11C28"/>
    <w:rsid w:val="00C120B9"/>
    <w:rsid w:val="00C13ED6"/>
    <w:rsid w:val="00C13FFB"/>
    <w:rsid w:val="00C20AD6"/>
    <w:rsid w:val="00C20EF1"/>
    <w:rsid w:val="00C256D9"/>
    <w:rsid w:val="00C40B6E"/>
    <w:rsid w:val="00C47596"/>
    <w:rsid w:val="00C5165B"/>
    <w:rsid w:val="00C61CA2"/>
    <w:rsid w:val="00C66F3F"/>
    <w:rsid w:val="00C7033B"/>
    <w:rsid w:val="00C70874"/>
    <w:rsid w:val="00C71057"/>
    <w:rsid w:val="00C71861"/>
    <w:rsid w:val="00C7189B"/>
    <w:rsid w:val="00C71E7B"/>
    <w:rsid w:val="00C73FE7"/>
    <w:rsid w:val="00C74F53"/>
    <w:rsid w:val="00C75EE9"/>
    <w:rsid w:val="00C817E2"/>
    <w:rsid w:val="00C83AE2"/>
    <w:rsid w:val="00C85D9D"/>
    <w:rsid w:val="00C9102B"/>
    <w:rsid w:val="00C9225A"/>
    <w:rsid w:val="00C9359A"/>
    <w:rsid w:val="00C94C6A"/>
    <w:rsid w:val="00C94E8D"/>
    <w:rsid w:val="00CA1E58"/>
    <w:rsid w:val="00CB0F13"/>
    <w:rsid w:val="00CB3214"/>
    <w:rsid w:val="00CB4335"/>
    <w:rsid w:val="00CB5561"/>
    <w:rsid w:val="00CC10B4"/>
    <w:rsid w:val="00CC2FCE"/>
    <w:rsid w:val="00CC3378"/>
    <w:rsid w:val="00CC7455"/>
    <w:rsid w:val="00CC7AC9"/>
    <w:rsid w:val="00CD0723"/>
    <w:rsid w:val="00CD0C6C"/>
    <w:rsid w:val="00CD0D25"/>
    <w:rsid w:val="00CD0F06"/>
    <w:rsid w:val="00CD4E16"/>
    <w:rsid w:val="00CD593D"/>
    <w:rsid w:val="00CD5B3B"/>
    <w:rsid w:val="00CD5D39"/>
    <w:rsid w:val="00CD62C2"/>
    <w:rsid w:val="00CE348A"/>
    <w:rsid w:val="00CE453E"/>
    <w:rsid w:val="00CE580F"/>
    <w:rsid w:val="00CE7583"/>
    <w:rsid w:val="00CE7948"/>
    <w:rsid w:val="00CF2878"/>
    <w:rsid w:val="00CF28E9"/>
    <w:rsid w:val="00CF7293"/>
    <w:rsid w:val="00CF739A"/>
    <w:rsid w:val="00D009DA"/>
    <w:rsid w:val="00D01F2B"/>
    <w:rsid w:val="00D06E9C"/>
    <w:rsid w:val="00D11514"/>
    <w:rsid w:val="00D11953"/>
    <w:rsid w:val="00D12476"/>
    <w:rsid w:val="00D20CDB"/>
    <w:rsid w:val="00D23816"/>
    <w:rsid w:val="00D26FB4"/>
    <w:rsid w:val="00D275A5"/>
    <w:rsid w:val="00D32272"/>
    <w:rsid w:val="00D421AC"/>
    <w:rsid w:val="00D50ECD"/>
    <w:rsid w:val="00D52473"/>
    <w:rsid w:val="00D57D4B"/>
    <w:rsid w:val="00D613D3"/>
    <w:rsid w:val="00D6354B"/>
    <w:rsid w:val="00D65203"/>
    <w:rsid w:val="00D653B8"/>
    <w:rsid w:val="00D67E7A"/>
    <w:rsid w:val="00D74CB2"/>
    <w:rsid w:val="00D81F21"/>
    <w:rsid w:val="00D821EA"/>
    <w:rsid w:val="00D8235C"/>
    <w:rsid w:val="00D84CF7"/>
    <w:rsid w:val="00D862A4"/>
    <w:rsid w:val="00D90552"/>
    <w:rsid w:val="00D92B31"/>
    <w:rsid w:val="00D93FEB"/>
    <w:rsid w:val="00D9646A"/>
    <w:rsid w:val="00D97669"/>
    <w:rsid w:val="00DA0670"/>
    <w:rsid w:val="00DA5343"/>
    <w:rsid w:val="00DA6719"/>
    <w:rsid w:val="00DB0113"/>
    <w:rsid w:val="00DB24D7"/>
    <w:rsid w:val="00DB66FC"/>
    <w:rsid w:val="00DC03A7"/>
    <w:rsid w:val="00DC15D3"/>
    <w:rsid w:val="00DC2037"/>
    <w:rsid w:val="00DC34F9"/>
    <w:rsid w:val="00DC43DB"/>
    <w:rsid w:val="00DC65A4"/>
    <w:rsid w:val="00DD246D"/>
    <w:rsid w:val="00DE04D5"/>
    <w:rsid w:val="00DE3794"/>
    <w:rsid w:val="00DE68C9"/>
    <w:rsid w:val="00DF4A4A"/>
    <w:rsid w:val="00DF4C02"/>
    <w:rsid w:val="00DF4FF0"/>
    <w:rsid w:val="00DF5E81"/>
    <w:rsid w:val="00DF6F10"/>
    <w:rsid w:val="00E01B74"/>
    <w:rsid w:val="00E01FCE"/>
    <w:rsid w:val="00E05AAD"/>
    <w:rsid w:val="00E074B2"/>
    <w:rsid w:val="00E13549"/>
    <w:rsid w:val="00E165BA"/>
    <w:rsid w:val="00E178C9"/>
    <w:rsid w:val="00E20605"/>
    <w:rsid w:val="00E21375"/>
    <w:rsid w:val="00E24C1A"/>
    <w:rsid w:val="00E25569"/>
    <w:rsid w:val="00E27C17"/>
    <w:rsid w:val="00E31E3B"/>
    <w:rsid w:val="00E36BDB"/>
    <w:rsid w:val="00E4061D"/>
    <w:rsid w:val="00E40AF6"/>
    <w:rsid w:val="00E43EF6"/>
    <w:rsid w:val="00E46C2D"/>
    <w:rsid w:val="00E47392"/>
    <w:rsid w:val="00E555E2"/>
    <w:rsid w:val="00E562FC"/>
    <w:rsid w:val="00E568E2"/>
    <w:rsid w:val="00E56C0C"/>
    <w:rsid w:val="00E57D92"/>
    <w:rsid w:val="00E61456"/>
    <w:rsid w:val="00E61DCA"/>
    <w:rsid w:val="00E620E7"/>
    <w:rsid w:val="00E62BE3"/>
    <w:rsid w:val="00E62F27"/>
    <w:rsid w:val="00E720E6"/>
    <w:rsid w:val="00E752DB"/>
    <w:rsid w:val="00E75F11"/>
    <w:rsid w:val="00E80369"/>
    <w:rsid w:val="00E81035"/>
    <w:rsid w:val="00E851BD"/>
    <w:rsid w:val="00E86B3B"/>
    <w:rsid w:val="00E96B40"/>
    <w:rsid w:val="00EA0416"/>
    <w:rsid w:val="00EA4751"/>
    <w:rsid w:val="00EA57C6"/>
    <w:rsid w:val="00EA6151"/>
    <w:rsid w:val="00EB2646"/>
    <w:rsid w:val="00EB383A"/>
    <w:rsid w:val="00EB5501"/>
    <w:rsid w:val="00EC5363"/>
    <w:rsid w:val="00ED258D"/>
    <w:rsid w:val="00ED431F"/>
    <w:rsid w:val="00ED6532"/>
    <w:rsid w:val="00ED7CC5"/>
    <w:rsid w:val="00EE0BD5"/>
    <w:rsid w:val="00EE1761"/>
    <w:rsid w:val="00EE325B"/>
    <w:rsid w:val="00EF17CF"/>
    <w:rsid w:val="00EF1978"/>
    <w:rsid w:val="00EF76D5"/>
    <w:rsid w:val="00F0217C"/>
    <w:rsid w:val="00F123EA"/>
    <w:rsid w:val="00F12FED"/>
    <w:rsid w:val="00F1499C"/>
    <w:rsid w:val="00F24A8C"/>
    <w:rsid w:val="00F25D60"/>
    <w:rsid w:val="00F277E3"/>
    <w:rsid w:val="00F31866"/>
    <w:rsid w:val="00F3216A"/>
    <w:rsid w:val="00F33ECD"/>
    <w:rsid w:val="00F3524F"/>
    <w:rsid w:val="00F41FC3"/>
    <w:rsid w:val="00F4445F"/>
    <w:rsid w:val="00F501B1"/>
    <w:rsid w:val="00F51166"/>
    <w:rsid w:val="00F5294E"/>
    <w:rsid w:val="00F6384F"/>
    <w:rsid w:val="00F65A32"/>
    <w:rsid w:val="00F66FED"/>
    <w:rsid w:val="00F71807"/>
    <w:rsid w:val="00F71A5D"/>
    <w:rsid w:val="00F765D1"/>
    <w:rsid w:val="00F9289D"/>
    <w:rsid w:val="00FA07A5"/>
    <w:rsid w:val="00FA2747"/>
    <w:rsid w:val="00FA5A51"/>
    <w:rsid w:val="00FB0ABA"/>
    <w:rsid w:val="00FB1D04"/>
    <w:rsid w:val="00FB1E62"/>
    <w:rsid w:val="00FB6D27"/>
    <w:rsid w:val="00FC4284"/>
    <w:rsid w:val="00FC45FB"/>
    <w:rsid w:val="00FD134D"/>
    <w:rsid w:val="00FD15B7"/>
    <w:rsid w:val="00FD4B61"/>
    <w:rsid w:val="00FD58B4"/>
    <w:rsid w:val="00FE2F2C"/>
    <w:rsid w:val="00FE3087"/>
    <w:rsid w:val="00FE6861"/>
    <w:rsid w:val="00FF1CAE"/>
    <w:rsid w:val="00FF24D3"/>
    <w:rsid w:val="00FF43C9"/>
    <w:rsid w:val="00FF5311"/>
    <w:rsid w:val="00FF56AC"/>
    <w:rsid w:val="00FF6BA9"/>
    <w:rsid w:val="00FF6F18"/>
    <w:rsid w:val="00FF79E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46E1D9"/>
  <w15:docId w15:val="{897D0710-F00A-4230-864E-62D7C02F2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1678"/>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Calibri"/>
      <w:b/>
      <w:bCs/>
      <w:kern w:val="32"/>
      <w:sz w:val="32"/>
      <w:szCs w:val="32"/>
    </w:rPr>
  </w:style>
  <w:style w:type="paragraph" w:styleId="Heading2">
    <w:name w:val="heading 2"/>
    <w:aliases w:val="Heading 2 Char1,Heading 2 Char Char"/>
    <w:basedOn w:val="Normal"/>
    <w:next w:val="Normal"/>
    <w:link w:val="Heading2Char"/>
    <w:qFormat/>
    <w:rsid w:val="00100F36"/>
    <w:pPr>
      <w:keepNext/>
      <w:spacing w:before="240" w:after="60"/>
      <w:outlineLvl w:val="1"/>
    </w:pPr>
    <w:rPr>
      <w:rFonts w:ascii="Calibri" w:eastAsia="MS Gothic" w:hAnsi="Calibri" w:cs="Calibri"/>
      <w:b/>
      <w:bCs/>
      <w:i/>
      <w:iCs/>
      <w:sz w:val="28"/>
      <w:szCs w:val="28"/>
    </w:rPr>
  </w:style>
  <w:style w:type="paragraph" w:styleId="Heading3">
    <w:name w:val="heading 3"/>
    <w:aliases w:val="Podpodkapitola,adpis 3,KopCat. 3,Numbered - 3,Caracter"/>
    <w:basedOn w:val="Normal"/>
    <w:next w:val="Normal"/>
    <w:link w:val="Heading3Char"/>
    <w:unhideWhenUsed/>
    <w:qFormat/>
    <w:locked/>
    <w:rsid w:val="005B0D2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semiHidden/>
    <w:unhideWhenUsed/>
    <w:qFormat/>
    <w:locked/>
    <w:rsid w:val="00913E6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aliases w:val="Heading 2 Char1 Char,Heading 2 Char Char Char"/>
    <w:link w:val="Heading2"/>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Cambria"/>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Cambria"/>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9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Calibri"/>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aliases w:val="Normal bullet 2,List Paragraph1,List1,body 2,List Paragraph11,Listă colorată - Accentuare 11,Bullet,Citation List,Forth level,Listă paragraf"/>
    <w:basedOn w:val="Normal"/>
    <w:link w:val="ListParagraphChar"/>
    <w:uiPriority w:val="34"/>
    <w:qFormat/>
    <w:rsid w:val="00B73F5D"/>
    <w:pPr>
      <w:ind w:left="720"/>
    </w:pPr>
  </w:style>
  <w:style w:type="character" w:styleId="Hyperlink">
    <w:name w:val="Hyperlink"/>
    <w:unhideWhenUsed/>
    <w:rsid w:val="008D5357"/>
    <w:rPr>
      <w:color w:val="0000FF"/>
      <w:u w:val="single"/>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ă paragraf Char"/>
    <w:link w:val="ListParagraph"/>
    <w:uiPriority w:val="34"/>
    <w:locked/>
    <w:rsid w:val="008D5357"/>
    <w:rPr>
      <w:rFonts w:ascii="Trebuchet MS" w:hAnsi="Trebuchet MS" w:cs="Trebuchet MS"/>
      <w:sz w:val="22"/>
      <w:szCs w:val="22"/>
      <w:lang w:val="en-US" w:eastAsia="en-US"/>
    </w:rPr>
  </w:style>
  <w:style w:type="character" w:customStyle="1" w:styleId="Heading3Char">
    <w:name w:val="Heading 3 Char"/>
    <w:aliases w:val="Podpodkapitola Char,adpis 3 Char,KopCat. 3 Char,Numbered - 3 Char,Caracter Char"/>
    <w:basedOn w:val="DefaultParagraphFont"/>
    <w:link w:val="Heading3"/>
    <w:rsid w:val="005B0D28"/>
    <w:rPr>
      <w:rFonts w:asciiTheme="majorHAnsi" w:eastAsiaTheme="majorEastAsia" w:hAnsiTheme="majorHAnsi" w:cstheme="majorBidi"/>
      <w:color w:val="243F60" w:themeColor="accent1" w:themeShade="7F"/>
      <w:sz w:val="24"/>
      <w:szCs w:val="24"/>
      <w:lang w:val="en-US" w:eastAsia="en-US"/>
    </w:r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002DC"/>
    <w:pPr>
      <w:spacing w:after="0" w:line="240" w:lineRule="auto"/>
      <w:ind w:left="0"/>
      <w:jc w:val="left"/>
    </w:pPr>
    <w:rPr>
      <w:rFonts w:ascii="Times New Roman" w:eastAsia="Times New Roman" w:hAnsi="Times New Roman" w:cs="Times New Roman"/>
      <w:sz w:val="24"/>
      <w:szCs w:val="24"/>
      <w:lang w:val="pl-PL" w:eastAsia="pl-PL"/>
    </w:rPr>
  </w:style>
  <w:style w:type="table" w:customStyle="1" w:styleId="TableGrid1">
    <w:name w:val="Table Grid1"/>
    <w:basedOn w:val="TableNormal"/>
    <w:next w:val="TableGrid"/>
    <w:uiPriority w:val="59"/>
    <w:rsid w:val="00C11C2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FF24D3"/>
    <w:rPr>
      <w:i/>
      <w:iCs/>
      <w:color w:val="4F81BD" w:themeColor="accent1"/>
    </w:rPr>
  </w:style>
  <w:style w:type="table" w:customStyle="1" w:styleId="TableGrid12">
    <w:name w:val="Table Grid12"/>
    <w:basedOn w:val="TableNormal"/>
    <w:next w:val="TableGrid"/>
    <w:rsid w:val="00864E88"/>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02767B"/>
    <w:rPr>
      <w:rFonts w:asciiTheme="minorHAnsi" w:eastAsia="Times New Roman"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00E28"/>
    <w:rPr>
      <w:rFonts w:asciiTheme="minorHAnsi" w:eastAsia="Times New Roman"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uiPriority w:val="59"/>
    <w:rsid w:val="00AE1066"/>
    <w:rPr>
      <w:rFonts w:ascii="Calibri" w:eastAsia="Times New Rom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59"/>
    <w:rsid w:val="00AE1066"/>
    <w:rPr>
      <w:rFonts w:ascii="Calibri" w:eastAsia="Times New Rom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1">
    <w:name w:val="Table Grid1411"/>
    <w:basedOn w:val="TableNormal"/>
    <w:next w:val="TableGrid"/>
    <w:uiPriority w:val="59"/>
    <w:rsid w:val="00AE1066"/>
    <w:rPr>
      <w:rFonts w:ascii="Calibri" w:eastAsia="Times New Rom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1">
    <w:name w:val="Table Grid1511"/>
    <w:basedOn w:val="TableNormal"/>
    <w:next w:val="TableGrid"/>
    <w:uiPriority w:val="59"/>
    <w:rsid w:val="00AE1066"/>
    <w:rPr>
      <w:rFonts w:ascii="Calibri" w:eastAsia="Times New Roman"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913E62"/>
    <w:rPr>
      <w:rFonts w:asciiTheme="majorHAnsi" w:eastAsiaTheme="majorEastAsia" w:hAnsiTheme="majorHAnsi" w:cstheme="majorBidi"/>
      <w:i/>
      <w:iCs/>
      <w:color w:val="365F91" w:themeColor="accent1" w:themeShade="BF"/>
      <w:sz w:val="22"/>
      <w:szCs w:val="22"/>
      <w:lang w:val="en-US" w:eastAsia="en-US"/>
    </w:rPr>
  </w:style>
  <w:style w:type="table" w:customStyle="1" w:styleId="TableGrid2">
    <w:name w:val="Table Grid2"/>
    <w:basedOn w:val="TableNormal"/>
    <w:next w:val="TableGrid"/>
    <w:rsid w:val="00150222"/>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150222"/>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0">
    <w:name w:val="Caracter Caracter2 Char Char Caracter Caracter Char Char Caracter Caracter Char Char Caracter Caracter"/>
    <w:basedOn w:val="Normal"/>
    <w:rsid w:val="009818EE"/>
    <w:pPr>
      <w:spacing w:after="0" w:line="240" w:lineRule="auto"/>
      <w:ind w:left="0"/>
      <w:jc w:val="left"/>
    </w:pPr>
    <w:rPr>
      <w:rFonts w:ascii="Times New Roman" w:eastAsia="Times New Roman" w:hAnsi="Times New Roman" w:cs="Times New Roman"/>
      <w:sz w:val="24"/>
      <w:szCs w:val="24"/>
      <w:lang w:val="pl-PL" w:eastAsia="pl-PL"/>
    </w:rPr>
  </w:style>
  <w:style w:type="table" w:customStyle="1" w:styleId="TableGrid3">
    <w:name w:val="Table Grid3"/>
    <w:basedOn w:val="TableNormal"/>
    <w:next w:val="TableGrid"/>
    <w:uiPriority w:val="59"/>
    <w:rsid w:val="009818E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4E3857"/>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uiPriority w:val="99"/>
    <w:rsid w:val="004E3857"/>
    <w:rPr>
      <w:rFonts w:ascii="Trebuchet MS" w:hAnsi="Trebuchet MS" w:cs="Trebuchet MS"/>
      <w:lang w:val="en-US"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4E3857"/>
    <w:rPr>
      <w:vertAlign w:val="superscript"/>
    </w:rPr>
  </w:style>
  <w:style w:type="character" w:styleId="CommentReference">
    <w:name w:val="annotation reference"/>
    <w:basedOn w:val="DefaultParagraphFont"/>
    <w:uiPriority w:val="99"/>
    <w:semiHidden/>
    <w:unhideWhenUsed/>
    <w:rsid w:val="00A66934"/>
    <w:rPr>
      <w:sz w:val="16"/>
      <w:szCs w:val="16"/>
    </w:rPr>
  </w:style>
  <w:style w:type="paragraph" w:styleId="CommentText">
    <w:name w:val="annotation text"/>
    <w:basedOn w:val="Normal"/>
    <w:link w:val="CommentTextChar"/>
    <w:uiPriority w:val="99"/>
    <w:semiHidden/>
    <w:unhideWhenUsed/>
    <w:rsid w:val="00A66934"/>
    <w:pPr>
      <w:spacing w:line="240" w:lineRule="auto"/>
    </w:pPr>
    <w:rPr>
      <w:sz w:val="20"/>
      <w:szCs w:val="20"/>
    </w:rPr>
  </w:style>
  <w:style w:type="character" w:customStyle="1" w:styleId="CommentTextChar">
    <w:name w:val="Comment Text Char"/>
    <w:basedOn w:val="DefaultParagraphFont"/>
    <w:link w:val="CommentText"/>
    <w:uiPriority w:val="99"/>
    <w:semiHidden/>
    <w:rsid w:val="00A66934"/>
    <w:rPr>
      <w:rFonts w:ascii="Trebuchet MS" w:hAnsi="Trebuchet MS" w:cs="Trebuchet MS"/>
      <w:lang w:val="en-US" w:eastAsia="en-US"/>
    </w:rPr>
  </w:style>
  <w:style w:type="paragraph" w:styleId="CommentSubject">
    <w:name w:val="annotation subject"/>
    <w:basedOn w:val="CommentText"/>
    <w:next w:val="CommentText"/>
    <w:link w:val="CommentSubjectChar"/>
    <w:uiPriority w:val="99"/>
    <w:semiHidden/>
    <w:unhideWhenUsed/>
    <w:rsid w:val="00A66934"/>
    <w:rPr>
      <w:b/>
      <w:bCs/>
    </w:rPr>
  </w:style>
  <w:style w:type="character" w:customStyle="1" w:styleId="CommentSubjectChar">
    <w:name w:val="Comment Subject Char"/>
    <w:basedOn w:val="CommentTextChar"/>
    <w:link w:val="CommentSubject"/>
    <w:uiPriority w:val="99"/>
    <w:semiHidden/>
    <w:rsid w:val="00A66934"/>
    <w:rPr>
      <w:rFonts w:ascii="Trebuchet MS" w:hAnsi="Trebuchet MS" w:cs="Trebuchet MS"/>
      <w:b/>
      <w:bCs/>
      <w:lang w:val="en-US"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F04FF"/>
    <w:pPr>
      <w:spacing w:after="160" w:line="240" w:lineRule="exact"/>
      <w:ind w:left="0"/>
      <w:jc w:val="left"/>
    </w:pPr>
    <w:rPr>
      <w:rFonts w:ascii="Cambria" w:hAnsi="Cambria" w:cs="Times New Roman"/>
      <w:sz w:val="20"/>
      <w:szCs w:val="20"/>
      <w:vertAlign w:val="superscript"/>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15077">
      <w:bodyDiv w:val="1"/>
      <w:marLeft w:val="0"/>
      <w:marRight w:val="0"/>
      <w:marTop w:val="0"/>
      <w:marBottom w:val="0"/>
      <w:divBdr>
        <w:top w:val="none" w:sz="0" w:space="0" w:color="auto"/>
        <w:left w:val="none" w:sz="0" w:space="0" w:color="auto"/>
        <w:bottom w:val="none" w:sz="0" w:space="0" w:color="auto"/>
        <w:right w:val="none" w:sz="0" w:space="0" w:color="auto"/>
      </w:divBdr>
    </w:div>
    <w:div w:id="63064730">
      <w:bodyDiv w:val="1"/>
      <w:marLeft w:val="0"/>
      <w:marRight w:val="0"/>
      <w:marTop w:val="0"/>
      <w:marBottom w:val="0"/>
      <w:divBdr>
        <w:top w:val="none" w:sz="0" w:space="0" w:color="auto"/>
        <w:left w:val="none" w:sz="0" w:space="0" w:color="auto"/>
        <w:bottom w:val="none" w:sz="0" w:space="0" w:color="auto"/>
        <w:right w:val="none" w:sz="0" w:space="0" w:color="auto"/>
      </w:divBdr>
    </w:div>
    <w:div w:id="125009638">
      <w:bodyDiv w:val="1"/>
      <w:marLeft w:val="0"/>
      <w:marRight w:val="0"/>
      <w:marTop w:val="0"/>
      <w:marBottom w:val="0"/>
      <w:divBdr>
        <w:top w:val="none" w:sz="0" w:space="0" w:color="auto"/>
        <w:left w:val="none" w:sz="0" w:space="0" w:color="auto"/>
        <w:bottom w:val="none" w:sz="0" w:space="0" w:color="auto"/>
        <w:right w:val="none" w:sz="0" w:space="0" w:color="auto"/>
      </w:divBdr>
    </w:div>
    <w:div w:id="350761642">
      <w:bodyDiv w:val="1"/>
      <w:marLeft w:val="0"/>
      <w:marRight w:val="0"/>
      <w:marTop w:val="0"/>
      <w:marBottom w:val="0"/>
      <w:divBdr>
        <w:top w:val="none" w:sz="0" w:space="0" w:color="auto"/>
        <w:left w:val="none" w:sz="0" w:space="0" w:color="auto"/>
        <w:bottom w:val="none" w:sz="0" w:space="0" w:color="auto"/>
        <w:right w:val="none" w:sz="0" w:space="0" w:color="auto"/>
      </w:divBdr>
    </w:div>
    <w:div w:id="486702490">
      <w:marLeft w:val="0"/>
      <w:marRight w:val="0"/>
      <w:marTop w:val="0"/>
      <w:marBottom w:val="0"/>
      <w:divBdr>
        <w:top w:val="none" w:sz="0" w:space="0" w:color="auto"/>
        <w:left w:val="none" w:sz="0" w:space="0" w:color="auto"/>
        <w:bottom w:val="none" w:sz="0" w:space="0" w:color="auto"/>
        <w:right w:val="none" w:sz="0" w:space="0" w:color="auto"/>
      </w:divBdr>
    </w:div>
    <w:div w:id="528224774">
      <w:bodyDiv w:val="1"/>
      <w:marLeft w:val="0"/>
      <w:marRight w:val="0"/>
      <w:marTop w:val="0"/>
      <w:marBottom w:val="0"/>
      <w:divBdr>
        <w:top w:val="none" w:sz="0" w:space="0" w:color="auto"/>
        <w:left w:val="none" w:sz="0" w:space="0" w:color="auto"/>
        <w:bottom w:val="none" w:sz="0" w:space="0" w:color="auto"/>
        <w:right w:val="none" w:sz="0" w:space="0" w:color="auto"/>
      </w:divBdr>
    </w:div>
    <w:div w:id="1413352283">
      <w:bodyDiv w:val="1"/>
      <w:marLeft w:val="0"/>
      <w:marRight w:val="0"/>
      <w:marTop w:val="0"/>
      <w:marBottom w:val="0"/>
      <w:divBdr>
        <w:top w:val="none" w:sz="0" w:space="0" w:color="auto"/>
        <w:left w:val="none" w:sz="0" w:space="0" w:color="auto"/>
        <w:bottom w:val="none" w:sz="0" w:space="0" w:color="auto"/>
        <w:right w:val="none" w:sz="0" w:space="0" w:color="auto"/>
      </w:divBdr>
    </w:div>
    <w:div w:id="198203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ecretariat.dgpim@fonduri-ue.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20AA3-99E3-41D7-A0D3-39BF0334E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835</Words>
  <Characters>4849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Mirela SOARE</dc:creator>
  <cp:lastModifiedBy>Laurentiu Gagu</cp:lastModifiedBy>
  <cp:revision>6</cp:revision>
  <cp:lastPrinted>2019-12-11T12:23:00Z</cp:lastPrinted>
  <dcterms:created xsi:type="dcterms:W3CDTF">2020-08-26T09:49:00Z</dcterms:created>
  <dcterms:modified xsi:type="dcterms:W3CDTF">2020-09-16T13:20:00Z</dcterms:modified>
</cp:coreProperties>
</file>